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6b WaffG 2002 — Mitteilungspflichten der Waffenbehörden an die Jagdbehörden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31.10.2024 (konsolidierte Textfassung, kein amtliches Inkrafttretensdatum)</w:t>
      </w:r>
    </w:p>
    <w:p>
      <w:r>
        <w:t xml:space="preserve">Stellt die Waffenbehörde fest, dass eine Person mit besonders anzuerkennenden persönlichen oder wirtschaftlichen Interessen als Jäger (Bedürfnisgrund) die erforderliche Zuverlässigkeit nach § 5 oder die persönliche Eignung nach § 6 nicht mehr besitzt, so informiert die Waffenbehörde die zuständige Jagdbehörde hierüber unverzüglich.</w:t>
      </w:r>
    </w:p>
    <w:p>
      <w:r>
        <w:rPr>
          <w:color w:val="555555"/>
          <w:sz w:val="17"/>
        </w:rPr>
        <w:t xml:space="preserve">Zitiervorschlag: § 6b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