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WaffG 2002 — Verwaltungsvorschriften</w:t>
      </w:r>
    </w:p>
    <w:p>
      <w:r>
        <w:rPr>
          <w:color w:val="555555"/>
          <w:sz w:val="18"/>
        </w:rPr>
        <w:t xml:space="preserve">Waffengesetz</w:t>
      </w:r>
    </w:p>
    <w:p>
      <w:r>
        <w:rPr>
          <w:color w:val="555555"/>
          <w:sz w:val="18"/>
        </w:rPr>
        <w:t xml:space="preserve">Stand: 30.06.2020 (konsolidierte Textfassung, kein amtliches Inkrafttretensdatum)</w:t>
      </w:r>
    </w:p>
    <w:p>
      <w:r>
        <w:t xml:space="preserve">Das Bundesministerium des Innern, für Bau und Heimat erlässt allgemeine Verwaltungsvorschriften über den Erwerb und das Führen von Schusswaffen durch Behörden und Bedienstete seines Geschäftsbereichs sowie über das Führen von Schusswaffen durch erheblich gefährdete Hoheitsträger im Sinne von § 55 Abs. 2; die anderen obersten Bundesbehörden und die Deutsche Bundesbank erlassen die Verwaltungsvorschriften für ihren Geschäftsbereich im Einvernehmen mit dem Bundesministerium des Innern, für Bau und Heimat.</w:t>
      </w:r>
    </w:p>
    <w:p>
      <w:r>
        <w:rPr>
          <w:color w:val="555555"/>
          <w:sz w:val="17"/>
        </w:rPr>
        <w:t xml:space="preserve">Zitiervorschlag: § 59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https://recht.nulegal.eu/gesetze/WaffG%202002/59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