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WaffG 2002 — Einziehung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eine Straftat nach den §§ 51, 52 Abs. 1, 2 oder 3 Nr. 1, 2 oder 3 oder Abs. 5 begangen worden, so werden Gegenstände,</w:t>
      </w:r>
    </w:p>
    <w:p>
      <w:pPr>
        <w:ind w:left="420"/>
      </w:pPr>
      <w:r>
        <w:t xml:space="preserve">1. auf die sich diese Straftat bezieht oder</w:t>
      </w:r>
    </w:p>
    <w:p>
      <w:pPr>
        <w:ind w:left="420"/>
      </w:pPr>
      <w:r>
        <w:t xml:space="preserve">2. die durch sie hervorgebracht oder zu ihrer Begehung oder Vorbereitung gebraucht worden oder bestimmt gewesen sind,</w:t>
      </w:r>
    </w:p>
    <w:p>
      <w:r>
        <w:t xml:space="preserve">eingezogen.</w:t>
      </w:r>
    </w:p>
    <w:p>
      <w:r>
        <w:t xml:space="preserve">(2) Ist eine sonstige Straftat nach § 52 oder eine Ordnungswidrigkeit nach § 53 begangen worden, so können in Absatz 1 bezeichnete Gegenstände eingezogen werden.</w:t>
      </w:r>
    </w:p>
    <w:p>
      <w:r>
        <w:t xml:space="preserve">(3) § 74a des Strafgesetzbuches und § 23 des Gesetzes über Ordnungswidrigkeiten sind anzuwenden.</w:t>
      </w:r>
    </w:p>
    <w:p>
      <w:r>
        <w:t xml:space="preserve">(4) Als Maßnahme im Sinne des § 74f Absatz 1 Satz 3 des Strafgesetzbuches kommt auch die Anweisung in Betracht, binnen einer angemessenen Frist eine Entscheidung der zuständigen Behörde über die Erteilung einer Erlaubnis nach § 10 vorzulegen oder die Gegenstände einem Berechtigten zu überlassen.</w:t>
      </w:r>
    </w:p>
    <w:p>
      <w:r>
        <w:rPr>
          <w:color w:val="555555"/>
          <w:sz w:val="17"/>
        </w:rPr>
        <w:t xml:space="preserve">Zitiervorschlag: § 54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