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WaffG 2002 — Strafvorschriften</w:t>
      </w:r>
    </w:p>
    <w:p>
      <w:r>
        <w:rPr>
          <w:color w:val="555555"/>
          <w:sz w:val="18"/>
        </w:rPr>
        <w:t xml:space="preserve">Waffengesetz</w:t>
      </w:r>
    </w:p>
    <w:p>
      <w:r>
        <w:rPr>
          <w:color w:val="555555"/>
          <w:sz w:val="18"/>
        </w:rPr>
        <w:t xml:space="preserve">Stand: 01.09.2020 (konsolidierte Textfassung, kein amtliches Inkrafttretensdatum)</w:t>
      </w:r>
    </w:p>
    <w:p>
      <w:r>
        <w:t xml:space="preserve">(1) Mit Freiheitsstrafe von einem Jahr bis zu fünf Jahren wird bestraft, wer entgegen § 2 Absatz 3 in Verbindung mit Anlage 2 Abschnitt 1 Nummer 1.2.1.1 oder 1.2.1.2, eine dort genannte Schusswaffe zum Verschießen von Patronenmunition nach Anlage 1 Abschnitt 1 Unterabschnitt 3 Nr. 1.1 erwirbt, besitzt, überlässt, führt, verbringt, mitnimmt, herstellt, bearbeitet, instand setzt oder damit Handel treibt.</w:t>
      </w:r>
    </w:p>
    <w:p>
      <w:r>
        <w:t xml:space="preserve">(2) In besonders schweren Fällen ist die Strafe Freiheitsstrafe von einem Jahr bis zu zehn Jahren. Ein besonders schwerer Fall liegt in der Regel vor, wenn der Täter gewerbsmäßig oder als Mitglied einer Bande, die sich zur fortgesetzten Begehung solcher Straftaten verbunden hat, unter Mitwirkung eines anderen Bandenmitgliedes handelt.</w:t>
      </w:r>
    </w:p>
    <w:p>
      <w:r>
        <w:t xml:space="preserve">(3) In minder schweren Fällen ist die Strafe Freiheitsstrafe bis zu drei Jahren oder Geldstrafe.</w:t>
      </w:r>
    </w:p>
    <w:p>
      <w:r>
        <w:t xml:space="preserve">(4) Handelt der Täter fahrlässig, so ist die Strafe Freiheitsstrafe bis zu zwei Jahren oder Geldstrafe.</w:t>
      </w:r>
    </w:p>
    <w:p>
      <w:r>
        <w:rPr>
          <w:color w:val="555555"/>
          <w:sz w:val="17"/>
        </w:rPr>
        <w:t xml:space="preserve">Zitiervorschlag: § 51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