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WaffG 2002 — Örtliche Zuständigkeit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der Verwaltungsverfahrensgesetze über die örtliche Zuständigkeit gelten mit der Maßgabe, dass örtlich zuständig ist</w:t>
      </w:r>
    </w:p>
    <w:p>
      <w:pPr>
        <w:ind w:left="420"/>
      </w:pPr>
      <w:r>
        <w:t xml:space="preserve">1. für einen Antragsteller oder Erlaubnisinhaber, der keinen gewöhnlichen Aufenthalt im Geltungsbereich dieses Gesetzes hat,</w:t>
      </w:r>
    </w:p>
    <w:p>
      <w:pPr>
        <w:ind w:left="780"/>
      </w:pPr>
      <w:r>
        <w:t xml:space="preserve">a) die Behörde, in deren Bezirk er sich aufhält oder aufhalten will, oder,</w:t>
      </w:r>
    </w:p>
    <w:p>
      <w:pPr>
        <w:ind w:left="780"/>
      </w:pPr>
      <w:r>
        <w:t xml:space="preserve">b) soweit sich ein solcher Aufenthaltswille nicht ermitteln lässt, die Behörde, in deren Bezirk der Grenzübertritt erfolgt,</w:t>
      </w:r>
    </w:p>
    <w:p>
      <w:pPr>
        <w:ind w:left="420"/>
      </w:pPr>
      <w:r>
        <w:t xml:space="preserve">2. für Antragsteller oder Inhaber einer Erlaubnis nach § 21 Abs. 1 sowie Bewachungsunternehmer die Behörde, in deren Bezirk sich die gewerbliche Hauptniederlassung befindet oder errichtet werden soll.</w:t>
      </w:r>
    </w:p>
    <w:p>
      <w:r>
        <w:t xml:space="preserve">(2) Abweichend von Absatz 1 ist örtlich zuständig für</w:t>
      </w:r>
    </w:p>
    <w:p>
      <w:pPr>
        <w:ind w:left="420"/>
      </w:pPr>
      <w:r>
        <w:t xml:space="preserve">1. Schießerlaubnisse nach § 10 Abs. 5 die Behörde, in deren Bezirk geschossen werden soll, soweit nicht die Länder nach § 48 Abs. 1 eine abweichende Regelung getroffen haben,</w:t>
      </w:r>
    </w:p>
    <w:p>
      <w:pPr>
        <w:ind w:left="420"/>
      </w:pPr>
      <w:r>
        <w:t xml:space="preserve">2. Erlaubnisse nach § 27 Abs. 1 sowie für Maßnahmen auf Grund einer Rechtsverordnung nach § 27 Abs. 7 bei ortsfesten Schießstätten die Behörde, in deren Bezirk die ortsfeste Schießstätte betrieben wird oder betrieben oder geändert werden soll,</w:t>
      </w:r>
    </w:p>
    <w:p>
      <w:pPr>
        <w:ind w:left="780"/>
      </w:pPr>
      <w:r>
        <w:t xml:space="preserve">a) Erlaubnisse nach § 27 Abs. 1 sowie für Maßnahmen auf Grund einer Rechtsverordnung nach § 27 Abs. 7 bei ortsveränderlichen Schießstätten die Behörde, in deren Bezirk der Betreiber seinen gewöhnlichen Aufenthalt hat,</w:t>
      </w:r>
    </w:p>
    <w:p>
      <w:pPr>
        <w:ind w:left="780"/>
      </w:pPr>
      <w:r>
        <w:t xml:space="preserve">b) Auflagen bei den in Buchstabe a genannten Schießstätten die Behörde, in deren Bezirk die Schießstätte aufgestellt werden soll,</w:t>
      </w:r>
    </w:p>
    <w:p>
      <w:pPr>
        <w:ind w:left="420"/>
      </w:pPr>
      <w:r>
        <w:t xml:space="preserve">4. Ausnahmebewilligungen nach § 35 Abs. 3 Satz 2 die Behörde, in deren Bezirk die Tätigkeit ausgeübt werden soll,</w:t>
      </w:r>
    </w:p>
    <w:p>
      <w:pPr>
        <w:ind w:left="420"/>
      </w:pPr>
      <w:r>
        <w:t xml:space="preserve">5. Ausnahmebewilligungen nach § 42 Abs. 2 die Behörde, in deren Bezirk die Veranstaltung stattfinden soll oder, soweit Ausnahmebewilligungen für mehrere Veranstaltungen in verschiedenen Bezirken erteilt werden, die Behörde, in deren Bezirk die erste Veranstaltung stattfinden soll,</w:t>
      </w:r>
    </w:p>
    <w:p>
      <w:pPr>
        <w:ind w:left="420"/>
      </w:pPr>
      <w:r>
        <w:t xml:space="preserve">6. die Sicherstellung nach § 46 Abs. 2 Satz 2, Abs. 3 Satz 2 und Abs. 4 Satz 1 auch die Behörde, in deren Bezirk sich der Gegenstand befindet.</w:t>
      </w:r>
    </w:p>
    <w:p>
      <w:r>
        <w:rPr>
          <w:color w:val="555555"/>
          <w:sz w:val="17"/>
        </w:rPr>
        <w:t xml:space="preserve">Zitiervorschlag: § 49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