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WaffG 2002 — Sachliche Zuständigkeit</w:t>
      </w:r>
    </w:p>
    <w:p>
      <w:r>
        <w:rPr>
          <w:color w:val="555555"/>
          <w:sz w:val="18"/>
        </w:rPr>
        <w:t xml:space="preserve">Waffengesetz</w:t>
      </w:r>
    </w:p>
    <w:p>
      <w:r>
        <w:rPr>
          <w:color w:val="555555"/>
          <w:sz w:val="18"/>
        </w:rPr>
        <w:t xml:space="preserve">Stand: 10.06.2019 (konsolidierte Textfassung, kein amtliches Inkrafttretensdatum)</w:t>
      </w:r>
    </w:p>
    <w:p>
      <w:r>
        <w:t xml:space="preserve">(1) Die Landesregierungen oder die von ihnen durch Rechtsverordnung bestimmten Stellen können durch Rechtsverordnung die für die Ausführung dieses Gesetzes zuständigen Behörden bestimmen, soweit nicht Bundesbehörden zuständig sind. Abweichend von Satz 1 ist für die Erteilung von Erlaubnissen an Bewachungsunternehmen für Bewachungsaufgaben nach § 28a Absatz 1 Satz 1 die für das Gebiet der Freien und Hansestadt Hamburg bestimmte Waffenbehörde zuständig.</w:t>
      </w:r>
    </w:p>
    <w:p>
      <w:r>
        <w:t xml:space="preserve">(1a) Die Landesregierungen oder die von ihnen durch Rechtsverordnung bestimmten Stellen bestimmen durch Rechtsverordnung die nach Artikel 6 Absatz 5 Satz 2 der Verordnung (EU) Nr. 1214/2011 des Europäischen Parlaments und des Rates vom 16. November 2011 über den gewerbsmäßigen grenzüberschreitenden Straßentransport von Euro-Bargeld zwischen den Mitgliedstaaten des Euroraums (ABl. L 316 vom 29.11.2011, S. 1) zuständige Kontaktstelle.</w:t>
      </w:r>
    </w:p>
    <w:p>
      <w:r>
        <w:t xml:space="preserve">(2) Das Bundesverwaltungsamt ist die zuständige Behörde für</w:t>
      </w:r>
    </w:p>
    <w:p>
      <w:pPr>
        <w:ind w:left="420"/>
      </w:pPr>
      <w:r>
        <w:t xml:space="preserve">1. ausländische Diplomaten, Konsularbeamte und gleichgestellte sonstige bevorrechtigte ausländische Personen,</w:t>
      </w:r>
    </w:p>
    <w:p>
      <w:pPr>
        <w:ind w:left="420"/>
      </w:pPr>
      <w:r>
        <w:t xml:space="preserve">2. ausländische Angehörige der in der Bundesrepublik Deutschland stationierten ausländischen Streitkräfte sowie deren Ehegatten und unterhaltsberechtigte Kinder,</w:t>
      </w:r>
    </w:p>
    <w:p>
      <w:pPr>
        <w:ind w:left="420"/>
      </w:pPr>
      <w:r>
        <w:t xml:space="preserve">3. Personen, die zum Schutze ausländischer Luftfahrzeuge und Seeschiffe eingesetzt sind,</w:t>
      </w:r>
    </w:p>
    <w:p>
      <w:pPr>
        <w:ind w:left="420"/>
      </w:pPr>
      <w:r>
        <w:t xml:space="preserve">4. Deutsche im Sinne des Artikels 116 des Grundgesetzes, die ihren gewöhnlichen Aufenthalt außerhalb des Geltungsbereichs dieses Gesetzes haben; dies gilt nicht für die in den §§ 21 und 28 genannten Personen, wenn sich der Sitz des Unternehmens im Geltungsbereich dieses Gesetzes befindet,</w:t>
      </w:r>
    </w:p>
    <w:p>
      <w:pPr>
        <w:ind w:left="420"/>
      </w:pPr>
      <w:r>
        <w:t xml:space="preserve">5. natürliche und juristische Personen, die im Geltungsbereich dieses Gesetzes im Sinne des § 21 Handel treiben, hier aber keinen Unternehmenssitz haben.</w:t>
      </w:r>
    </w:p>
    <w:p>
      <w:r>
        <w:t xml:space="preserve">(3) Zuständig für die Entscheidungen nach § 2 Abs. 5 ist das Bundeskriminalamt.</w:t>
      </w:r>
    </w:p>
    <w:p>
      <w:r>
        <w:t xml:space="preserve">(3a) Das Bundesamt für Wirtschaft und Ausfuhrkontrolle ist die zuständige Behörde zur Erteilung von Genehmigungen nach Artikel 4 der Verordnung (EU) Nr. 258/2012 des Europäischen Parlaments und des Rates vom 14. März 2012 zur Umsetzung des Artikels 10 des Protokolls der Vereinten Nationen gegen die unerlaubte Herstellung von Schusswaffen, dazugehörigen Teilen und Komponenten und Munition und gegen den unerlaubten Handel damit, in Ergänzung des Übereinkommens der Vereinten Nationen gegen die grenzüberschreitende organisierte Kriminalität (VN-Feuerwaffenprotokoll) und zur Einführung von Ausfuhrgenehmigungen für Feuerwaffen, deren Teile, Komponenten und Munition sowie von Maßnahmen betreffend deren Einfuhr und Durchfuhr (ABl. L 94 vom 30.3.2012, S. 1).</w:t>
      </w:r>
    </w:p>
    <w:p>
      <w:r>
        <w:t xml:space="preserve">(4) Verwaltungsverfahren nach diesem Gesetz oder auf Grund dieses Gesetzes können über eine einheitliche Stelle nach den Vorschriften der Verwaltungsverfahrensgesetze abgewickelt werden.</w:t>
      </w:r>
    </w:p>
    <w:p>
      <w:r>
        <w:rPr>
          <w:color w:val="555555"/>
          <w:sz w:val="17"/>
        </w:rPr>
        <w:t xml:space="preserve">Zitiervorschlag: § 48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