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WaffG 2002 — Verordnungen zur Erfüllung internationaler Vereinbarungen oder zur Angleichung an Gemeinschaftsrecht</w:t>
      </w:r>
    </w:p>
    <w:p>
      <w:r>
        <w:rPr>
          <w:color w:val="555555"/>
          <w:sz w:val="18"/>
        </w:rPr>
        <w:t xml:space="preserve">Waffengesetz</w:t>
      </w:r>
    </w:p>
    <w:p>
      <w:r>
        <w:rPr>
          <w:color w:val="555555"/>
          <w:sz w:val="18"/>
        </w:rPr>
        <w:t xml:space="preserve">Stand: 30.06.2020 (konsolidierte Textfassung, kein amtliches Inkrafttretensdatum)</w:t>
      </w:r>
    </w:p>
    <w:p>
      <w:r>
        <w:t xml:space="preserve">Das Bundesministerium des Innern, für Bau und Heimat wird ermächtigt, mit Zustimmung des Bundesrates zur Erfüllung von Verpflichtungen aus internationalen Vereinbarungen oder zur Erfüllung bindender Beschlüsse der Europäischen Union, die Sachbereiche dieses Gesetzes betreffen, Rechtsverordnungen zu erlassen, die insbesondere</w:t>
      </w:r>
    </w:p>
    <w:p>
      <w:pPr>
        <w:ind w:left="420"/>
      </w:pPr>
      <w:r>
        <w:t xml:space="preserve">1. Anforderungen an das Überlassen und Verbringen von Waffen oder Munition an Personen, die ihren gewöhnlichen Aufenthalt außerhalb des Geltungsbereichs des Gesetzes haben, festlegen und</w:t>
      </w:r>
    </w:p>
    <w:p>
      <w:pPr>
        <w:ind w:left="420"/>
      </w:pPr>
      <w:r>
        <w:t xml:space="preserve">2. das Verbringen und die vorübergehende Mitnahme von Waffen oder Munition in den Geltungsbereich des Gesetzes sowie</w:t>
      </w:r>
    </w:p>
    <w:p>
      <w:pPr>
        <w:ind w:left="420"/>
      </w:pPr>
      <w:r>
        <w:t xml:space="preserve">3. die zu den Nummern 1 und 2 erforderlichen Bescheinigungen, Mitteilungspflichten und behördlichen Maßnahmen regeln.</w:t>
      </w:r>
    </w:p>
    <w:p>
      <w:r>
        <w:rPr>
          <w:color w:val="555555"/>
          <w:sz w:val="17"/>
        </w:rPr>
        <w:t xml:space="preserve">Zitiervorschlag: § 47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