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44a WaffG 2002 — Behördliche Aufbewahrungspflichten</w:t>
      </w:r>
    </w:p>
    <w:p>
      <w:r>
        <w:rPr>
          <w:color w:val="555555"/>
          <w:sz w:val="18"/>
        </w:rPr>
        <w:t xml:space="preserve">Waffengesetz</w:t>
      </w:r>
    </w:p>
    <w:p>
      <w:r>
        <w:rPr>
          <w:color w:val="555555"/>
          <w:sz w:val="18"/>
        </w:rPr>
        <w:t xml:space="preserve">Stand: 01.09.2020 (konsolidierte Textfassung, kein amtliches Inkrafttretensdatum)</w:t>
      </w:r>
    </w:p>
    <w:p>
      <w:r>
        <w:t xml:space="preserve">Die für die Ausführung dieses Gesetzes zuständigen Behörden haben alle Unterlagen, die für die Feststellung der gegenwärtigen und früheren Besitzverhältnisse sowie die Rückverfolgung von Verkaufswegen erforderlich sind, einschließlich der Aufzeichnungen zu Verbringungen 30 Jahre aufzubewahren. Ferner haben die in Satz 1 genannten Behörden zehn Jahre alle Unterlagen aufzubewahren, aus denen sich die Versagung einer waffenrechtlichen Erlaubnis</w:t>
      </w:r>
    </w:p>
    <w:p>
      <w:pPr>
        <w:ind w:left="420"/>
      </w:pPr>
      <w:r>
        <w:t xml:space="preserve">1. wegen fehlender Zuverlässigkeit nach § 4 Absatz 1 Nummer 2 in Verbindung mit § 5 Absatz 1 Nummer 2 oder Absatz 2 Nummer 2, 3 oder Nummer 4 oder</w:t>
      </w:r>
    </w:p>
    <w:p>
      <w:pPr>
        <w:ind w:left="420"/>
      </w:pPr>
      <w:r>
        <w:t xml:space="preserve">2. wegen fehlender persönlicher Eignung nach § 4 Absatz 1 Nummer 2 in Verbindung mit § 6 Absatz 1 Satz 1 und 2,</w:t>
      </w:r>
    </w:p>
    <w:p>
      <w:r>
        <w:t xml:space="preserve">einschließlich der Gründe hierfür, ergibt.</w:t>
      </w:r>
    </w:p>
    <w:p>
      <w:r>
        <w:rPr>
          <w:color w:val="555555"/>
          <w:sz w:val="17"/>
        </w:rPr>
        <w:t xml:space="preserve">Zitiervorschlag: § 44a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https://recht.nulegal.eu/gesetze/WaffG%202002/44a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