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WaffG 2002 — Erhebung und Übermittlung personenbezogener Daten</w:t>
      </w:r>
    </w:p>
    <w:p>
      <w:r>
        <w:rPr>
          <w:color w:val="555555"/>
          <w:sz w:val="18"/>
        </w:rPr>
        <w:t xml:space="preserve">Waffengesetz</w:t>
      </w:r>
    </w:p>
    <w:p>
      <w:r>
        <w:rPr>
          <w:color w:val="555555"/>
          <w:sz w:val="18"/>
        </w:rPr>
        <w:t xml:space="preserve">Stand: 31.10.2024 (konsolidierte Textfassung, kein amtliches Inkrafttretensdatum)</w:t>
      </w:r>
    </w:p>
    <w:p>
      <w:r>
        <w:t xml:space="preserve">(1) Die für die Ausführung dieses Gesetzes zuständigen Behörden dürfen personenbezogene Daten auch ohne Mitwirkung der betroffenen Person in den Fällen des § 5 Abs. 5 und des § 6 Abs. 1 Satz 3 und 4 erheben. Sonstige Rechtsvorschriften des Bundes- oder Landesrechts, die eine Erhebung ohne Mitwirkung der betroffenen Person vorsehen oder zwingend voraussetzen, bleiben unberührt.</w:t>
      </w:r>
    </w:p>
    <w:p>
      <w:r>
        <w:t xml:space="preserve">(2) Öffentliche Stellen im Geltungsbereich dieses Gesetzes sind auf Ersuchen der zuständigen Behörde verpflichtet, dieser im Rahmen datenschutzrechtlicher Übermittlungsbefugnisse personenbezogene Daten zu übermitteln, soweit die Daten nicht wegen überwiegender öffentlicher Interessen geheim gehalten werden müssen. § 30 der Abgabenordnung steht der Übermittlung nicht entgegen.</w:t>
      </w:r>
    </w:p>
    <w:p>
      <w:r>
        <w:rPr>
          <w:color w:val="555555"/>
          <w:sz w:val="17"/>
        </w:rPr>
        <w:t xml:space="preserve">Zitiervorschlag: § 43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