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42c WaffG 2002 — Kontrollbefugnis zum Verbot des Führens von Waffen und Messern bei öffentlichen Veranstaltungen, im öffentlichen Personenfernverkehr und in Verbotszonen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31.10.2024 (konsolidierte Textfassung, kein amtliches Inkrafttretensdatum)</w:t>
      </w:r>
    </w:p>
    <w:p>
      <w:r>
        <w:t xml:space="preserve">Die zuständige Behörde kann zur Durchsetzung gesetzlicher Waffen- und Messerverbote nach § 42 Absatz 1 Satz 1, Absatz 4a Satz 1 und § 42b Absatz 1 sowie von Waffen- und Messerverbotszonen nach § 42 Absatz 5 im räumlichen Geltungsbereich dieser gesetzlichen Waffen- und Messerverbote sowie im räumlichen Geltungsbereich der Waffen- und Messerverbotszonen Personen kurzzeitig anhalten, befragen, mitgeführte Sachen in Augenschein nehmen sowie die Person durchsuchen. Die Auswahl der nach Satz 1 kontrollierten Person anhand eines Merkmals im Sinne des Artikels 3 Absatz 3 des Grundgesetzes ohne sachlichen, durch den Zweck der Maßnahme gerechtfertigten Grund ist unzulässig.</w:t>
      </w:r>
    </w:p>
    <w:p>
      <w:r>
        <w:rPr>
          <w:color w:val="555555"/>
          <w:sz w:val="17"/>
        </w:rPr>
        <w:t xml:space="preserve">Zitiervorschlag: § 42c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https://recht.nulegal.eu/gesetze/WaffG%202002/42c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