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42a WaffG 2002 — Verbot des Führens von Anscheinswaffen und bestimmten tragbaren Gegenständen</w:t>
      </w:r>
    </w:p>
    <w:p>
      <w:r>
        <w:rPr>
          <w:color w:val="555555"/>
          <w:sz w:val="18"/>
        </w:rPr>
        <w:t xml:space="preserve">Waffengesetz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Es ist verboten</w:t>
      </w:r>
    </w:p>
    <w:p>
      <w:pPr>
        <w:ind w:left="420"/>
      </w:pPr>
      <w:r>
        <w:t xml:space="preserve">1. Anscheinswaffen,</w:t>
      </w:r>
    </w:p>
    <w:p>
      <w:pPr>
        <w:ind w:left="420"/>
      </w:pPr>
      <w:r>
        <w:t xml:space="preserve">2. Hieb- und Stoßwaffen nach Anlage 1 Abschnitt 1 Unterabschnitt 2 Nr. 1.1 oder</w:t>
      </w:r>
    </w:p>
    <w:p>
      <w:pPr>
        <w:ind w:left="420"/>
      </w:pPr>
      <w:r>
        <w:t xml:space="preserve">3. Messer mit einhändig feststellbarer Klinge (Einhandmesser) oder feststehende Messer mit einer Klingenlänge über 12 cm</w:t>
      </w:r>
    </w:p>
    <w:p>
      <w:r>
        <w:t xml:space="preserve">zu führen.</w:t>
      </w:r>
    </w:p>
    <w:p>
      <w:r>
        <w:t xml:space="preserve">(2) Absatz 1 gilt nicht</w:t>
      </w:r>
    </w:p>
    <w:p>
      <w:pPr>
        <w:ind w:left="420"/>
      </w:pPr>
      <w:r>
        <w:t xml:space="preserve">1. für die Verwendung bei Foto-, Film- oder Fernsehaufnahmen oder Theateraufführungen,</w:t>
      </w:r>
    </w:p>
    <w:p>
      <w:pPr>
        <w:ind w:left="420"/>
      </w:pPr>
      <w:r>
        <w:t xml:space="preserve">2. für den Transport in einem verschlossenen Behältnis,</w:t>
      </w:r>
    </w:p>
    <w:p>
      <w:pPr>
        <w:ind w:left="420"/>
      </w:pPr>
      <w:r>
        <w:t xml:space="preserve">3. für das Führen der Gegenstände nach Absatz 1 Nr. 2 und 3, sofern ein berechtigtes Interesse vorliegt.</w:t>
      </w:r>
    </w:p>
    <w:p>
      <w:r>
        <w:t xml:space="preserve">Weitergehende Regelungen bleiben unberührt.</w:t>
      </w:r>
    </w:p>
    <w:p>
      <w:r>
        <w:t xml:space="preserve">(3) Ein berechtigtes Interesse nach Absatz 2 Satz 1 Nr. 3 liegt insbesondere vor, wenn das Führen der Gegenstände im Zusammenhang mit der Berufsausübung erfolgt, der Brauchtumspflege, dem Sport oder einem allgemein anerkannten Zweck dient.</w:t>
      </w:r>
    </w:p>
    <w:p>
      <w:r>
        <w:rPr>
          <w:color w:val="555555"/>
          <w:sz w:val="17"/>
        </w:rPr>
        <w:t xml:space="preserve">Zitiervorschlag: § 42a WaffG 2002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https://recht.nulegal.eu/gesetze/WaffG%202002/42a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