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WaffG 2002 — Waffenverbote für den Einzelfall</w:t>
      </w:r>
    </w:p>
    <w:p>
      <w:r>
        <w:rPr>
          <w:color w:val="555555"/>
          <w:sz w:val="18"/>
        </w:rPr>
        <w:t xml:space="preserve">Waffengesetz</w:t>
      </w:r>
    </w:p>
    <w:p>
      <w:r>
        <w:rPr>
          <w:color w:val="555555"/>
          <w:sz w:val="18"/>
        </w:rPr>
        <w:t xml:space="preserve">Stand: 31.10.2024 (konsolidierte Textfassung, kein amtliches Inkrafttretensdatum)</w:t>
      </w:r>
    </w:p>
    <w:p>
      <w:r>
        <w:t xml:space="preserve">(1) Die zuständige Behörde kann jemandem den Besitz von Waffen oder Munition, deren Erwerb nicht der Erlaubnis bedarf, und den Erwerb solcher Waffen oder Munition untersagen,</w:t>
      </w:r>
    </w:p>
    <w:p>
      <w:pPr>
        <w:ind w:left="420"/>
      </w:pPr>
      <w:r>
        <w:t xml:space="preserve">1. soweit es zur Verhütung von Gefahren für die Sicherheit oder zur Kontrolle des Umgangs mit diesen Gegenständen geboten ist oder</w:t>
      </w:r>
    </w:p>
    <w:p>
      <w:pPr>
        <w:ind w:left="420"/>
      </w:pPr>
      <w:r>
        <w:t xml:space="preserve">2. wenn Tatsachen vorliegen, die die Annahme rechtfertigen, dass der rechtmäßige Besitzer oder Erwerbswillige abhängig von Alkohol oder anderen berauschenden Mitteln, psychisch krank oder debil ist oder sonst die erforderliche persönliche Eignung nicht besitzt oder ihm die für den Erwerb oder Besitz solcher Waffen oder Munition erforderliche Zuverlässigkeit fehlt.</w:t>
      </w:r>
    </w:p>
    <w:p>
      <w:r>
        <w:t xml:space="preserve">Tatsachen für das Fehlen der erforderlichen Zuverlässigkeit nach Satz 1 Nummer 2 liegen außer in den Fällen des § 5 Absatz 1 Nummer 1 Buchstabe a oder c, Nummer 2 oder Absatz 2 Nummer 2 bis 4 insbesondere vor, wenn die betroffene Person</w:t>
      </w:r>
    </w:p>
    <w:p>
      <w:pPr>
        <w:ind w:left="420"/>
      </w:pPr>
      <w:r>
        <w:t xml:space="preserve">1. wegen einer vorsätzlichen Straftat gegen die körperliche Unversehrtheit oder einer vorsätzlichen Straftat, die mit Gewalt oder durch Drohung mit gegenwärtiger Gefahr für Leib oder Leben begangen wurde, zu einer Freiheitsstrafe, Jugendstrafe oder Geldstrafe von mindestens 90 Tagessätzen rechtskräftig verurteilt worden ist oder bei der die Verhängung von Jugendstrafe ausgesetzt worden ist, wenn seit dem Eintritt der Rechtskraft der letzten Verurteilung fünf Jahre noch nicht verstrichen sind, oder</w:t>
      </w:r>
    </w:p>
    <w:p>
      <w:pPr>
        <w:ind w:left="420"/>
      </w:pPr>
      <w:r>
        <w:t xml:space="preserve">2. wegen einer vorsätzlichen Straftat nach dem Waffengesetz, dem Gesetz über die Kontrolle von Kriegswaffen, dem Sprengstoffgesetz oder dem Bundesjagdgesetz zu einer Freiheitsstrafe, Jugendstrafe oder Geldstrafe von mindestens 90 Tagessätzen rechtskräftig verurteilt worden ist oder bei der die Verhängung von Jugendstrafe ausgesetzt worden ist, wenn seit dem Eintritt der Rechtskraft der letzten Verurteilung fünf Jahre noch nicht verstrichen sind.</w:t>
      </w:r>
    </w:p>
    <w:p>
      <w:r>
        <w:t xml:space="preserve">Im Fall des Satzes 1 Nummer 2 ist die betroffene Person darauf hinzuweisen, dass sie die Annahme mangelnder persönlicher Eignung im Wege der Beibringung eines amts- oder fachärztlichen oder fachpsychologischen Zeugnisses über die geistige oder körperliche Eignung ausräumen kann; § 6 Absatz 2 findet entsprechende Anwendung.</w:t>
      </w:r>
    </w:p>
    <w:p>
      <w:r>
        <w:t xml:space="preserve">(2) Die zuständige Behörde kann jemandem den Besitz von Waffen oder Munition, deren Erwerb der Erlaubnis bedarf, untersagen, soweit es zur Verhütung von Gefahren für die Sicherheit oder Kontrolle des Umgangs mit diesen Gegenständen geboten ist.</w:t>
      </w:r>
    </w:p>
    <w:p>
      <w:r>
        <w:t xml:space="preserve">(3) Die zuständige Behörde unterrichtet die örtliche Polizeidienststelle über den Erlass eines Waffenbesitzverbotes.</w:t>
      </w:r>
    </w:p>
    <w:p>
      <w:r>
        <w:rPr>
          <w:color w:val="555555"/>
          <w:sz w:val="17"/>
        </w:rPr>
        <w:t xml:space="preserve">Zitiervorschlag: § 41 WaffG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https://recht.nulegal.eu/gesetze/WaffG%202002/41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