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39c WaffG 2002 — Unbrauchbarmachung von Schusswaffen und Umgang mit unbrauchbar gemachten Schusswaffen; Verordnungsermächtigung</w:t>
      </w:r>
    </w:p>
    <w:p>
      <w:r>
        <w:rPr>
          <w:color w:val="555555"/>
          <w:sz w:val="18"/>
        </w:rPr>
        <w:t xml:space="preserve">Waffengesetz</w:t>
      </w:r>
    </w:p>
    <w:p>
      <w:r>
        <w:rPr>
          <w:color w:val="555555"/>
          <w:sz w:val="18"/>
        </w:rPr>
        <w:t xml:space="preserve">Stand: 11.09.2020 (konsolidierte Textfassung, kein amtliches Inkrafttretensdatum)</w:t>
      </w:r>
    </w:p>
    <w:p>
      <w:r>
        <w:t xml:space="preserve">(1) Das Bundesministerium des Innern, für Bau und Heimat wird ermächtigt, durch Rechtsverordnung, die nicht der Zustimmung des Bundesrates bedarf, nähere Regelungen zur Unbrauchbarmachung von Schusswaffen zu treffen; insbesondere kann es</w:t>
      </w:r>
    </w:p>
    <w:p>
      <w:pPr>
        <w:ind w:left="420"/>
      </w:pPr>
      <w:r>
        <w:t xml:space="preserve">1. auf die Unbrauchbarmachung bezogene Dokumentationen und Mitteilungen verlangen und</w:t>
      </w:r>
    </w:p>
    <w:p>
      <w:pPr>
        <w:ind w:left="420"/>
      </w:pPr>
      <w:r>
        <w:t xml:space="preserve">2. Regelungen in Bezug auf vor Inkrafttreten dieser Bestimmung unbrauchbar gemachte Schusswaffen treffen.</w:t>
      </w:r>
    </w:p>
    <w:p>
      <w:r>
        <w:t xml:space="preserve">(2) Das Bundesministerium des Innern, für Bau und Heimat wird ermächtigt, durch Rechtsverordnung, die nicht der Zustimmung des Bundesrates bedarf, die Anwendbarkeit von Vorschriften des Waffengesetzes auf unbrauchbar gemachte Schusswaffen zu regeln sowie den Umgang mit unbrauchbar gemachten Schusswaffen (Anlage 1 Abschnitt 1 Unterabschnitt 1 Nummer 1.4) zu verbieten oder zu beschränken oder mit bestimmten Verpflichtungen zu verbinden; insbesondere kann es</w:t>
      </w:r>
    </w:p>
    <w:p>
      <w:pPr>
        <w:ind w:left="420"/>
      </w:pPr>
      <w:r>
        <w:t xml:space="preserve">1. bestimmte Arten des Umgangs mit unbrauchbar gemachten Schusswaffen verbieten oder unter Genehmigungsvorbehalt stellen und</w:t>
      </w:r>
    </w:p>
    <w:p>
      <w:pPr>
        <w:ind w:left="420"/>
      </w:pPr>
      <w:r>
        <w:t xml:space="preserve">2. Anzeigen oder Begleitdokumente vorschreiben.</w:t>
      </w:r>
    </w:p>
    <w:p>
      <w:r>
        <w:t xml:space="preserve">Durch die Verordnung können diejenigen Teile der Anlage 2 zu diesem Gesetz, die unbrauchbar gemachte Schusswaffen betreffen, aufgehoben werden.</w:t>
      </w:r>
    </w:p>
    <w:p>
      <w:r>
        <w:rPr>
          <w:color w:val="555555"/>
          <w:sz w:val="17"/>
        </w:rPr>
        <w:t xml:space="preserve">Zitiervorschlag: § 39c WaffG 2002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https://recht.nulegal.eu/gesetze/WaffG%202002/39c</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