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39b WaffG 2002 — Erwerb, Besitz und Aufbewahrung von Salutwaffen</w:t>
      </w:r>
    </w:p>
    <w:p>
      <w:r>
        <w:rPr>
          <w:color w:val="555555"/>
          <w:sz w:val="18"/>
        </w:rPr>
        <w:t xml:space="preserve">Waffengesetz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Ein Bedürfnis für den Erwerb und Besitz von Salutwaffen nach Anlage 1 Abschnitt 1 Unterabschnitt 1 Nummer 1.5 ist insbesondere anzuerkennen, wenn der Antragsteller die Salutwaffen für</w:t>
      </w:r>
    </w:p>
    <w:p>
      <w:pPr>
        <w:ind w:left="420"/>
      </w:pPr>
      <w:r>
        <w:t xml:space="preserve">1. Theateraufführungen,</w:t>
      </w:r>
    </w:p>
    <w:p>
      <w:pPr>
        <w:ind w:left="420"/>
      </w:pPr>
      <w:r>
        <w:t xml:space="preserve">2. Foto-, Film- oder Fernsehaufnahmen oder</w:t>
      </w:r>
    </w:p>
    <w:p>
      <w:pPr>
        <w:ind w:left="420"/>
      </w:pPr>
      <w:r>
        <w:t xml:space="preserve">3. für die Teilnahme an kulturellen Veranstaltungen oder Veranstaltungen der Brauchtumspflege</w:t>
      </w:r>
    </w:p>
    <w:p>
      <w:r>
        <w:t xml:space="preserve">benötigt.</w:t>
      </w:r>
    </w:p>
    <w:p>
      <w:r>
        <w:t xml:space="preserve">(2) Ein Nachweis der Sachkunde nach § 7 ist für die Erteilung der Erlaubnis nicht erforderlich.</w:t>
      </w:r>
    </w:p>
    <w:p>
      <w:r>
        <w:t xml:space="preserve">(3) § 36 Absatz 3, 4 und 6 ist auf Salutwaffen nicht anzuwenden. Sind Regelungen einer auf Grund von § 36 Absatz 5 erlassenen Rechtsverordnung anwendbar, sind Salutwaffen wie von der Erlaubnispflicht freigestellte Waffen zu behandeln.</w:t>
      </w:r>
    </w:p>
    <w:p>
      <w:r>
        <w:rPr>
          <w:color w:val="555555"/>
          <w:sz w:val="17"/>
        </w:rPr>
        <w:t xml:space="preserve">Zitiervorschlag: § 39b WaffG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https://recht.nulegal.eu/gesetze/WaffG%202002/39b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