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WaffG 2002 — Ausweispflichten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Wer eine Waffe führt, muss folgende Dokumente mit sich führen:</w:t>
      </w:r>
    </w:p>
    <w:p>
      <w:pPr>
        <w:ind w:left="420"/>
      </w:pPr>
      <w:r>
        <w:t xml:space="preserve">1. seinen Personalausweis oder Pass und</w:t>
      </w:r>
    </w:p>
    <w:p>
      <w:pPr>
        <w:ind w:left="780"/>
      </w:pPr>
      <w:r>
        <w:t xml:space="preserve">a) wenn es einer Erlaubnis zum Erwerb bedarf, die Waffenbesitzkarte oder, wenn es einer Erlaubnis zum Führen bedarf, den Waffenschein,</w:t>
      </w:r>
    </w:p>
    <w:p>
      <w:pPr>
        <w:ind w:left="780"/>
      </w:pPr>
      <w:r>
        <w:t xml:space="preserve">b) im Fall des Verbringens einer Waffe oder von Munition gemäß § 29 den Erlaubnisschein,</w:t>
      </w:r>
    </w:p>
    <w:p>
      <w:pPr>
        <w:ind w:left="780"/>
      </w:pPr>
      <w:r>
        <w:t xml:space="preserve">c) im Fall des Verbringens einer Waffe oder von Munition aus dem Geltungsbereich des Gesetzes gemäß § 30 den Erlaubnisschein oder eine Ablichtung hiervon sowie zusätzlich zum Erlaubnisschein oder der Ablichtung hiervon die Bestätigung der Anzeige durch das Bundesverwaltungsamt, bei elektronischer Anzeigebestätigung einen Ausdruck der Bestätigung des Bundesverwaltungsamts,</w:t>
      </w:r>
    </w:p>
    <w:p>
      <w:pPr>
        <w:ind w:left="780"/>
      </w:pPr>
      <w:r>
        <w:t xml:space="preserve">d) im Fall der Mitnahme einer Waffe oder von Munition aus einem Drittstaat gemäß § 32 Absatz 1 den Erlaubnisschein, im Fall der Mitnahme auf Grund einer Erlaubnis nach § 32 Absatz 4 auch den Beleg für den Grund der Mitnahme,</w:t>
      </w:r>
    </w:p>
    <w:p>
      <w:pPr>
        <w:ind w:left="780"/>
      </w:pPr>
      <w:r>
        <w:t xml:space="preserve">e) im Fall der Mitnahme einer Schusswaffe oder von Munition nach Anlage 1 Abschnitt 3 (Kategorien A 1.2 bis C)</w:t>
      </w:r>
    </w:p>
    <w:p>
      <w:pPr>
        <w:ind w:left="1140"/>
      </w:pPr>
      <w:r>
        <w:t xml:space="preserve">aa) aus einem anderen Mitgliedstaat gemäß § 32 Absatz 1 und 2 den Erlaubnisschein und den Europäischen Feuerwaffenpass,</w:t>
      </w:r>
    </w:p>
    <w:p>
      <w:pPr>
        <w:ind w:left="1140"/>
      </w:pPr>
      <w:r>
        <w:t xml:space="preserve">bb) aus dem Geltungsbereich dieses Gesetzes gemäß § 32 Absatz 1a den Erlaubnisschein,</w:t>
      </w:r>
    </w:p>
    <w:p>
      <w:pPr>
        <w:ind w:left="1140"/>
      </w:pPr>
      <w:r>
        <w:t xml:space="preserve">cc) aus einem anderen Mitgliedstaat oder aus dem Geltungsbereich dieses Gesetzes gemäß § 32 Absatz 3 den Europäischen Feuerwaffenpass und einen Beleg für den Grund der Mitnahme,</w:t>
      </w:r>
    </w:p>
    <w:p>
      <w:pPr>
        <w:ind w:left="780"/>
      </w:pPr>
      <w:r>
        <w:t xml:space="preserve">f) im Fall der vorübergehenden Berechtigung zum Erwerb oder zum Führen auf Grund des § 12 Absatz 1 Nummer 1 und 2 oder § 28 Absatz 4 einen Beleg, aus dem der Name des Überlassers und des Besitzberechtigten sowie das Datum der Überlassung hervorgeht, oder</w:t>
      </w:r>
    </w:p>
    <w:p>
      <w:pPr>
        <w:ind w:left="780"/>
      </w:pPr>
      <w:r>
        <w:t xml:space="preserve">g) im Fall des Schießens mit einer Schießerlaubnis nach § 10 Absatz 5 diese und</w:t>
      </w:r>
    </w:p>
    <w:p>
      <w:pPr>
        <w:ind w:left="420"/>
      </w:pPr>
      <w:r>
        <w:t xml:space="preserve">2. in den Fällen des § 13 Absatz 6 den Jagdschein.</w:t>
      </w:r>
    </w:p>
    <w:p>
      <w:r>
        <w:t xml:space="preserve">In den Fällen des § 13 Absatz 3 sowie im Fall des Führens einer Waffe, die auf Grund einer unbefristeten Erlaubnis gemäß § 14 Absatz 6 erworben wurde, genügt an Stelle der Waffenbesitzkarte ein schriftlicher Nachweis darüber, dass die Antragsfrist noch nicht verstrichen oder ein Antrag gestellt worden ist. Satz 1 gilt nicht in Fällen des § 12 Absatz 3 Nummer 1.</w:t>
      </w:r>
    </w:p>
    <w:p>
      <w:r>
        <w:t xml:space="preserve">(2) Die nach Absatz 1 Satz 1 und 2 mitzuführenden Dokumente sind Polizeibeamten oder sonst zur Personenkontrolle Befugten auf Verlangen zur Prüfung auszuhändigen.</w:t>
      </w:r>
    </w:p>
    <w:p>
      <w:r>
        <w:rPr>
          <w:color w:val="555555"/>
          <w:sz w:val="17"/>
        </w:rPr>
        <w:t xml:space="preserve">Zitiervorschlag: § 38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