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37g WaffG 2002 — Eintragungen in die Waffenbesitzkarte</w:t>
      </w:r>
    </w:p>
    <w:p>
      <w:r>
        <w:rPr>
          <w:color w:val="555555"/>
          <w:sz w:val="18"/>
        </w:rPr>
        <w:t xml:space="preserve">Waffengesetz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Der Inhaber einer Erlaubnis zum Erwerb und Besitz von Waffen nach § 10 Absatz 1 Satz 1 oder einer gleichgestellten anderen Erlaubnis zum Erwerb und Besitz hat gleichzeitig mit der Anzeige nach § 37a oder § 37b Absatz 1 die Waffenbesitzkarte und, sofern die betreffende Waffe in den Europäischen Feuerwaffenpass des Erlaubnisinhabers eingetragen ist, auch diesen zur Eintragung oder Berichtigung bei der zuständigen Behörde vorzulegen.</w:t>
      </w:r>
    </w:p>
    <w:p>
      <w:r>
        <w:t xml:space="preserve">(2) Bei Austausch eines wesentlichen Teils entfällt die Vorlagepflicht nach Absatz 1.</w:t>
      </w:r>
    </w:p>
    <w:p>
      <w:r>
        <w:t xml:space="preserve">(3) Die zuständige Behörde trägt Anlass und Inhalt der Anzeige in die Waffenbesitzkarte oder den Europäischen Feuerwaffenpass ein.</w:t>
      </w:r>
    </w:p>
    <w:p>
      <w:r>
        <w:rPr>
          <w:color w:val="555555"/>
          <w:sz w:val="17"/>
        </w:rPr>
        <w:t xml:space="preserve">Zitiervorschlag: § 37g WaffG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https://recht.nulegal.eu/gesetze/WaffG%202002/37g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