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37e WaffG 2002 — Ausnahmen von der Anzeigepflicht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Pflicht zur Anzeige einer Überlassung oder eines Erwerbs nach § 37 Absatz 1 Satz 1 Nummer 2 und 3 besteht nicht bei</w:t>
      </w:r>
    </w:p>
    <w:p>
      <w:pPr>
        <w:ind w:left="420"/>
      </w:pPr>
      <w:r>
        <w:t xml:space="preserve">1. Überlassung einzelner wesentlicher Teile zum Zweck der gewerbsmäßigen Ausführung von Verschönerungen oder ähnlichen Arbeiten an der Waffe, sofern eine Rücküberlassung an den Überlassenden erfolgen soll,</w:t>
      </w:r>
    </w:p>
    <w:p>
      <w:pPr>
        <w:ind w:left="420"/>
      </w:pPr>
      <w:r>
        <w:t xml:space="preserve">2. Überlassung im Rahmen eines Arbeits- oder Ausbildungsverhältnisses nach § 12 Absatz 1 Nummer 3 Buchstabe a,</w:t>
      </w:r>
    </w:p>
    <w:p>
      <w:pPr>
        <w:ind w:left="420"/>
      </w:pPr>
      <w:r>
        <w:t xml:space="preserve">3. vorübergehendem Überlassen zum Schießen auf einer Schießstätte nach § 12 Absatz 1 Nummer 5.</w:t>
      </w:r>
    </w:p>
    <w:p>
      <w:r>
        <w:t xml:space="preserve">Satz 1 gilt im Fall der Überlassung und des Erwerbs einer unbrauchbar gemachten Schusswaffe im Sinne von § 37d Absatz 1 Satz 1 Nummer 1 und 2 durch den Inhaber einer Erlaubnis nach § 21 Absatz 1 Satz 1 entsprechend.</w:t>
      </w:r>
    </w:p>
    <w:p>
      <w:r>
        <w:t xml:space="preserve">(2) Der Inhaber der Erlaubnis nach § 21 Absatz 1 Satz 1 kann von einer Anzeige des Erwerbs nach § 37 Absatz 1 Satz 1 Nummer 3 oder § 37d Absatz 1 Nummer 2 und bei der anschließenden Rücküberlassung an den Überlassenden von der Anzeige der Überlassung nach § 37 Absatz 1 Satz 1 Nummer 2 oder § 37d Absatz 1 Nummer 1 absehen, wenn der Inhaber der Erlaubnis nach § 21 Absatz 1 Satz 1 von einem Überlassenden erwirbt, der nicht Inhaber einer Erlaubnis nach § 21 Absatz 1 Satz 1 ist, und die Rücküberlassung innerhalb eines Monats nach dem Erwerb erfolgt. Erfolgt die Rücküberlassung im Fall des Satzes 1 nicht innerhalb eines Monats nach dem Erwerb, hat der Inhaber der Erlaubnis nach § 21 Absatz 1 Satz 1 die Anzeige des Erwerbs gemäß § 37 Absatz 1 Satz 1 Nummer 3 oder § 37d Absatz 1 Nummer 2 unverzüglich nachzuholen sowie die Rücküberlassung gemäß § 37 Absatz 1 Satz 1 Nummer 2 oder § 37d Absatz 1 Nummer 1 unverzüglich anzuzeigen. Im Fall des Satzes 1 sind Erwerb und Überlassung durch den Inhaber der Erlaubnis nach § 21 Absatz 1 Satz 1 schriftlich oder elektronisch zu dokumentieren (Ersatzdokumentation).</w:t>
      </w:r>
    </w:p>
    <w:p>
      <w:r>
        <w:t xml:space="preserve">(2a) Von der Anzeige einer Überlassung oder eines Erwerbs nach § 37 Absatz 1 Satz 1 Nummer 2 und 3 kann abgesehen werden, wenn</w:t>
      </w:r>
    </w:p>
    <w:p>
      <w:pPr>
        <w:ind w:left="420"/>
      </w:pPr>
      <w:r>
        <w:t xml:space="preserve">1. sowohl der Überlassende als auch der Erwerbende Inhaber der Erlaubnis nach § 21 Absatz 1 Satz 1 ist, und</w:t>
      </w:r>
    </w:p>
    <w:p>
      <w:pPr>
        <w:ind w:left="420"/>
      </w:pPr>
      <w:r>
        <w:t xml:space="preserve">2. die Rücküberlassung und der Rückerwerb zwischen diesen beiden innerhalb von 14 Tagen nach dem Erwerb erfolgt.</w:t>
      </w:r>
    </w:p>
    <w:p>
      <w:r>
        <w:t xml:space="preserve">Erfolgt die Rücküberlassung im Fall des Satzes 1 nicht innerhalb von 14 Tagen nach dem Erwerb, hat</w:t>
      </w:r>
    </w:p>
    <w:p>
      <w:pPr>
        <w:ind w:left="420"/>
      </w:pPr>
      <w:r>
        <w:t xml:space="preserve">1. der Erwerbende</w:t>
      </w:r>
    </w:p>
    <w:p>
      <w:pPr>
        <w:ind w:left="780"/>
      </w:pPr>
      <w:r>
        <w:t xml:space="preserve">a) die Anzeige des Erwerbs gemäß § 37 Absatz 1 Satz 1 Nummer 3 und</w:t>
      </w:r>
    </w:p>
    <w:p>
      <w:pPr>
        <w:ind w:left="780"/>
      </w:pPr>
      <w:r>
        <w:t xml:space="preserve">b) die Anzeige der Rücküberlassung gemäß § 37 Absatz 1 Satz 1 Nummer 2</w:t>
      </w:r>
    </w:p>
    <w:p>
      <w:pPr>
        <w:ind w:left="420"/>
      </w:pPr>
      <w:r>
        <w:t xml:space="preserve">sowie</w:t>
      </w:r>
    </w:p>
    <w:p>
      <w:pPr>
        <w:ind w:left="420"/>
      </w:pPr>
      <w:r>
        <w:t xml:space="preserve">2. der Überlassende</w:t>
      </w:r>
    </w:p>
    <w:p>
      <w:pPr>
        <w:ind w:left="780"/>
      </w:pPr>
      <w:r>
        <w:t xml:space="preserve">a) die Anzeige der Überlassung gemäß § 37 Absatz 1 Satz 1 Nummer 2 und</w:t>
      </w:r>
    </w:p>
    <w:p>
      <w:pPr>
        <w:ind w:left="780"/>
      </w:pPr>
      <w:r>
        <w:t xml:space="preserve">b) die Anzeige des Rückerwerbs gemäß § 37 Absatz 1 Satz 1 Nummer 3</w:t>
      </w:r>
    </w:p>
    <w:p>
      <w:r>
        <w:t xml:space="preserve">jeweils unverzüglich nachzuholen. Im Fall des Satzes 1 sind Erwerb und Überlassung durch die Inhaber der Erlaubnis nach § 21 Absatz 1 Satz 1 in der Ersatzdokumentation festzuhalten. Über die Nutzung der Ersatzdokumentation muss zwischen überlassendem und erwerbendem Inhaber der Erlaubnis nach § 21 Absatz 1 Satz 1 im Vorwege Einigung erzielt werden.</w:t>
      </w:r>
    </w:p>
    <w:p>
      <w:r>
        <w:t xml:space="preserve">(3) Die Pflicht zur Anzeige einer Überlassung gemäß § 37a Satz 1 Nummer 1 besteht nicht in den Fällen des § 12 Absatz 1 sowie beim Überlassen an einen Erlaubnisinhaber nach § 21 Absatz 1 Satz 1 zum Zweck</w:t>
      </w:r>
    </w:p>
    <w:p>
      <w:pPr>
        <w:ind w:left="420"/>
      </w:pPr>
      <w:r>
        <w:t xml:space="preserve">1. der Verwahrung,</w:t>
      </w:r>
    </w:p>
    <w:p>
      <w:pPr>
        <w:ind w:left="420"/>
      </w:pPr>
      <w:r>
        <w:t xml:space="preserve">2. der Instandsetzung oder Vornahme geringfügiger Änderungen oder</w:t>
      </w:r>
    </w:p>
    <w:p>
      <w:pPr>
        <w:ind w:left="420"/>
      </w:pPr>
      <w:r>
        <w:t xml:space="preserve">3. des Kommissionsverkaufs.</w:t>
      </w:r>
    </w:p>
    <w:p>
      <w:r>
        <w:t xml:space="preserve">(4) Die Pflicht zur Anzeige eines Erwerbs gemäß § 37a Satz 1 Nummer 2 besteht nicht</w:t>
      </w:r>
    </w:p>
    <w:p>
      <w:pPr>
        <w:ind w:left="420"/>
      </w:pPr>
      <w:r>
        <w:t xml:space="preserve">1. in den Fällen des § 12 Absatz 1 Nummer 1 bis 3, 4 Buchstabe a oder Nummer 5, außer es handelt sich um den Wiedererwerb nach einer Instandsetzung, die zum Umbau oder Austausch eines wesentlichen Teils geführt hat, oder</w:t>
      </w:r>
    </w:p>
    <w:p>
      <w:pPr>
        <w:ind w:left="420"/>
      </w:pPr>
      <w:r>
        <w:t xml:space="preserve">2. für einen Waffensachverständigen, der die Waffe auf Grund eines Bedürfnisses nach § 18 Absatz 1 erwirbt und sie höchstens drei Monate lang besitzt.</w:t>
      </w:r>
    </w:p>
    <w:p>
      <w:r>
        <w:t xml:space="preserve">(5) Die Absätze 3 und 4 gelten im Fall der Überlassung und des Erwerbs einer unbrauchbar gemachten Schusswaffe im Sinne von § 37d Absatz 1 Satz 1 Nummer 1 und 2 durch Personen, die nicht Inhaber einer Erlaubnis nach § 21 Absatz 1 Satz 1 sind, entsprechend.</w:t>
      </w:r>
    </w:p>
    <w:p>
      <w:r>
        <w:rPr>
          <w:color w:val="555555"/>
          <w:sz w:val="17"/>
        </w:rPr>
        <w:t xml:space="preserve">Zitiervorschlag: § 37e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https://recht.nulegal.eu/gesetze/WaffG%202002/37e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