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37c WaffG 2002 — Anzeigepflichten bei Inbesitznahme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Wer Waffen oder Munition, deren Erwerb der Erlaubnis bedarf, in Besitz nimmt</w:t>
      </w:r>
    </w:p>
    <w:p>
      <w:pPr>
        <w:ind w:left="420"/>
      </w:pPr>
      <w:r>
        <w:t xml:space="preserve">1. beim Tod eines Waffenbesitzers, als Finder oder in ähnlicher Weise,</w:t>
      </w:r>
    </w:p>
    <w:p>
      <w:pPr>
        <w:ind w:left="420"/>
      </w:pPr>
      <w:r>
        <w:t xml:space="preserve">2. als Insolvenzverwalter, Zwangsverwalter, Gerichtsvollzieher oder in ähnlicher Weise,</w:t>
      </w:r>
    </w:p>
    <w:p>
      <w:r>
        <w:t xml:space="preserve">hat dies der zuständigen Behörde unverzüglich anzuzeigen.</w:t>
      </w:r>
    </w:p>
    <w:p>
      <w:r>
        <w:t xml:space="preserve">(2) Die zuständige Behörde kann</w:t>
      </w:r>
    </w:p>
    <w:p>
      <w:pPr>
        <w:ind w:left="420"/>
      </w:pPr>
      <w:r>
        <w:t xml:space="preserve">1. die Waffen oder Munition sicherstellen oder</w:t>
      </w:r>
    </w:p>
    <w:p>
      <w:pPr>
        <w:ind w:left="420"/>
      </w:pPr>
      <w:r>
        <w:t xml:space="preserve">2. anordnen, dass die Waffen oder Munition innerhalb angemessener Frist</w:t>
      </w:r>
    </w:p>
    <w:p>
      <w:pPr>
        <w:ind w:left="780"/>
      </w:pPr>
      <w:r>
        <w:t xml:space="preserve">a) unbrauchbar gemacht werden oder</w:t>
      </w:r>
    </w:p>
    <w:p>
      <w:pPr>
        <w:ind w:left="780"/>
      </w:pPr>
      <w:r>
        <w:t xml:space="preserve">b) einem Berechtigten überlassen werden,</w:t>
      </w:r>
    </w:p>
    <w:p>
      <w:pPr>
        <w:ind w:left="780"/>
      </w:pPr>
      <w:r>
        <w:t xml:space="preserve">c) und dies der zuständigen Behörde nachgewiesen wird.</w:t>
      </w:r>
    </w:p>
    <w:p>
      <w:r>
        <w:t xml:space="preserve">(3) Nach fruchtlosem Ablauf der Frist kann die zuständige Behörde die Waffen oder Munition einziehen. Ein Erlös aus der Verwertung steht dem nach bürgerlichem Recht bisher Berechtigten zu.</w:t>
      </w:r>
    </w:p>
    <w:p>
      <w:r>
        <w:rPr>
          <w:color w:val="555555"/>
          <w:sz w:val="17"/>
        </w:rPr>
        <w:t xml:space="preserve">Zitiervorschlag: § 37c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