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WaffG 2002 — Anzeigepflichten der gewerblichen Waffenhersteller und Waffenhändler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Der Inhaber einer Waffenherstellungserlaubnis oder Waffenhandelserlaubnis nach § 21 Absatz 1 Satz 1 hat der zuständigen Behörde den folgenden Umgang mit fertiggestellten Schusswaffen, deren Erwerb oder Besitz der Erlaubnis bedarf, unverzüglich elektronisch anzuzeigen:</w:t>
      </w:r>
    </w:p>
    <w:p>
      <w:pPr>
        <w:ind w:left="420"/>
      </w:pPr>
      <w:r>
        <w:t xml:space="preserve">1. die Herstellung, jedoch erst nach Fertigstellung,</w:t>
      </w:r>
    </w:p>
    <w:p>
      <w:pPr>
        <w:ind w:left="420"/>
      </w:pPr>
      <w:r>
        <w:t xml:space="preserve">2. die Überlassung,</w:t>
      </w:r>
    </w:p>
    <w:p>
      <w:pPr>
        <w:ind w:left="420"/>
      </w:pPr>
      <w:r>
        <w:t xml:space="preserve">3. den Erwerb,</w:t>
      </w:r>
    </w:p>
    <w:p>
      <w:pPr>
        <w:ind w:left="420"/>
      </w:pPr>
      <w:r>
        <w:t xml:space="preserve">4. die Bearbeitung durch</w:t>
      </w:r>
    </w:p>
    <w:p>
      <w:pPr>
        <w:ind w:left="780"/>
      </w:pPr>
      <w:r>
        <w:t xml:space="preserve">a) Umbau oder</w:t>
      </w:r>
    </w:p>
    <w:p>
      <w:pPr>
        <w:ind w:left="780"/>
      </w:pPr>
      <w:r>
        <w:t xml:space="preserve">b) Austausch eines wesentlichen Teils.</w:t>
      </w:r>
    </w:p>
    <w:p>
      <w:r>
        <w:t xml:space="preserve">Die Pflicht zur Anzeige besteht auch dann, wenn ein Blockiersystem eingebaut oder entsperrt wird.</w:t>
      </w:r>
    </w:p>
    <w:p>
      <w:r>
        <w:t xml:space="preserve">(2) Für die elektronischen Anzeigen gilt § 9 des Waffenregistergesetzes.</w:t>
      </w:r>
    </w:p>
    <w:p>
      <w:r>
        <w:rPr>
          <w:color w:val="555555"/>
          <w:sz w:val="17"/>
        </w:rPr>
        <w:t xml:space="preserve">Zitiervorschlag: § 37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