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WaffG 2002 — Werbung, Hinweispflichten, Handelsverbote</w:t>
      </w:r>
    </w:p>
    <w:p>
      <w:r>
        <w:rPr>
          <w:color w:val="555555"/>
          <w:sz w:val="18"/>
        </w:rPr>
        <w:t xml:space="preserve">Waffengesetz</w:t>
      </w:r>
    </w:p>
    <w:p>
      <w:r>
        <w:rPr>
          <w:color w:val="555555"/>
          <w:sz w:val="18"/>
        </w:rPr>
        <w:t xml:space="preserve">Stand: 10.06.2019 (konsolidierte Textfassung, kein amtliches Inkrafttretensdatum)</w:t>
      </w:r>
    </w:p>
    <w:p>
      <w:r>
        <w:t xml:space="preserve">(1) Wer Waffen oder Munition zum Kauf oder Tausch in Anzeigen oder Werbeschriften anbietet, hat bei den nachstehenden Waffenarten auf das Erfordernis der Erwerbsberechtigung jeweils wie folgt hinzuweisen:</w:t>
      </w:r>
    </w:p>
    <w:p>
      <w:pPr>
        <w:ind w:left="420"/>
      </w:pPr>
      <w:r>
        <w:t xml:space="preserve">1. bei erlaubnispflichtigen Schusswaffen und erlaubnispflichtiger Munition: Abgabe nur an Inhaber einer Erwerbserlaubnis,</w:t>
      </w:r>
    </w:p>
    <w:p>
      <w:pPr>
        <w:ind w:left="420"/>
      </w:pPr>
      <w:r>
        <w:t xml:space="preserve">2. bei nicht erlaubnispflichtigen Schusswaffen und nicht erlaubnispflichtiger Munition sowie sonstigen Waffen: Abgabe nur an Personen mit vollendetem 18. Lebensjahr,</w:t>
      </w:r>
    </w:p>
    <w:p>
      <w:pPr>
        <w:ind w:left="420"/>
      </w:pPr>
      <w:r>
        <w:t xml:space="preserve">3. bei verbotenen Waffen: Abgabe nur an Inhaber einer Ausnahmegenehmigung,</w:t>
      </w:r>
    </w:p>
    <w:p>
      <w:r>
        <w:t xml:space="preserve">sowie seinen Namen, seine Anschrift und gegebenenfalls seine eingetragene Marke bekannt zu geben. Anzeigen und Werbeschriften nach Satz 1 dürfen nur veröffentlicht werden, wenn sie den Namen und die Anschrift des Anbieters sowie die von ihm je nach Waffenart mitzuteilenden Hinweise enthalten. Satz 2 gilt nicht für die Bekanntgabe der Personalien des nicht gewerblichen Anbieters, wenn dieser der Bekanntgabe widerspricht. Derjenige, der die Anzeige oder Werbeschrift veröffentlicht, ist im Fall des Satzes 3 gegenüber der zuständigen Behörde verpflichtet, die Urkunden über den Geschäftsvorgang ein Jahr lang aufzubewahren und dieser auf Verlangen Einsicht zu gewähren.</w:t>
      </w:r>
    </w:p>
    <w:p>
      <w:r>
        <w:t xml:space="preserve">(2) Dürfen Schusswaffen nur mit Erlaubnis geführt oder darf mit ihnen nur mit Erlaubnis geschossen werden, so hat der Inhaber einer Erlaubnis nach § 21 Abs. 1 bei ihrem Überlassen im Einzelhandel den Erwerber auf das Erfordernis des Waffenscheins oder der Schießerlaubnis hinzuweisen. Beim Überlassen von Schreckschuss-, Reizstoff- oder Signalwaffen im Sinne des § 10 Abs. 4 Satz 4 hat der Inhaber einer Erlaubnis nach § 21 Abs. 1 überdies auf die Strafbarkeit des Führens ohne Erlaubnis (Kleiner Waffenschein) hinzuweisen und die Erfüllung dieser sowie der Hinweispflicht nach Satz 1 zu protokollieren.</w:t>
      </w:r>
    </w:p>
    <w:p>
      <w:r>
        <w:t xml:space="preserve">(3) Der Vertrieb und das Überlassen von Schusswaffen, Munition, Hieb- oder Stoßwaffen ist verboten:</w:t>
      </w:r>
    </w:p>
    <w:p>
      <w:pPr>
        <w:ind w:left="420"/>
      </w:pPr>
      <w:r>
        <w:t xml:space="preserve">1. im Reisegewerbe, ausgenommen in den Fällen des § 55b Abs. 1 der Gewerbeordnung,</w:t>
      </w:r>
    </w:p>
    <w:p>
      <w:pPr>
        <w:ind w:left="420"/>
      </w:pPr>
      <w:r>
        <w:t xml:space="preserve">2. auf festgesetzten Veranstaltungen im Sinne des Titels IV der Gewerbeordnung (Messen, Ausstellungen, Märkte), ausgenommen die Entgegennahme von Bestellungen auf Messen und Ausstellungen,</w:t>
      </w:r>
    </w:p>
    <w:p>
      <w:pPr>
        <w:ind w:left="420"/>
      </w:pPr>
      <w:r>
        <w:t xml:space="preserve">3. auf Volksfesten, Schützenfesten, Märkten, Sammlertreffen oder ähnlichen öffentlichen Veranstaltungen, ausgenommen das Überlassen der benötigten Schusswaffen oder Munition in einer Schießstätte sowie von Munition, die Teil einer Sammlung (§ 17 Abs. 1) oder für eine solche bestimmt ist.</w:t>
      </w:r>
    </w:p>
    <w:p>
      <w:r>
        <w:t xml:space="preserve">Die zuständige Behörde kann Ausnahmen von den Verboten für ihren Bezirk zulassen, wenn öffentliche Interessen nicht entgegenstehen.</w:t>
      </w:r>
    </w:p>
    <w:p>
      <w:r>
        <w:rPr>
          <w:color w:val="555555"/>
          <w:sz w:val="17"/>
        </w:rPr>
        <w:t xml:space="preserve">Zitiervorschlag: § 35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