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WaffG 2002 — Anmelde- und Nachweispflichten, Befugnisse der Überwachungsbehörden beim Verbringen oder der Mitnahme von Waffen oder Munition in den, durch den oder aus dem Geltungsbereich dieses Gesetzes</w:t>
      </w:r>
    </w:p>
    <w:p>
      <w:r>
        <w:rPr>
          <w:color w:val="555555"/>
          <w:sz w:val="18"/>
        </w:rPr>
        <w:t xml:space="preserve">Waffengesetz</w:t>
      </w:r>
    </w:p>
    <w:p>
      <w:r>
        <w:rPr>
          <w:color w:val="555555"/>
          <w:sz w:val="18"/>
        </w:rPr>
        <w:t xml:space="preserve">Stand: 27.10.2020 (konsolidierte Textfassung, kein amtliches Inkrafttretensdatum)</w:t>
      </w:r>
    </w:p>
    <w:p>
      <w:r>
        <w:t xml:space="preserve">(1) Wer beabsichtigt, Waffen oder Munition, deren Verbringen oder Mitnahme einer Erlaubnis bedarf, aus einem Drittstaat in den oder durch den Geltungsbereich dieses Gesetzes zu verbringen oder mitzunehmen, ist verpflichtet,</w:t>
      </w:r>
    </w:p>
    <w:p>
      <w:pPr>
        <w:ind w:left="420"/>
      </w:pPr>
      <w:r>
        <w:t xml:space="preserve">1. diese Waffen oder diese Munition bei der nach Absatz 3 zuständigen Überwachungsbehörde beim Verbringen oder bei der Mitnahme anzumelden,</w:t>
      </w:r>
    </w:p>
    <w:p>
      <w:pPr>
        <w:ind w:left="420"/>
      </w:pPr>
      <w:r>
        <w:t xml:space="preserve">2. auf Verlangen der nach Absatz 3 zuständigen Überwachungsbehörde ihr diese Waffen oder diese Munition vorzuführen und</w:t>
      </w:r>
    </w:p>
    <w:p>
      <w:pPr>
        <w:ind w:left="420"/>
      </w:pPr>
      <w:r>
        <w:t xml:space="preserve">3. die Berechtigung zum Verbringen oder zur Mitnahme nachzuweisen.</w:t>
      </w:r>
    </w:p>
    <w:p>
      <w:r>
        <w:t xml:space="preserve">Auf Verlangen sind diese Nachweise den Überwachungsbehörden zur Prüfung auszuhändigen.</w:t>
      </w:r>
    </w:p>
    <w:p>
      <w:r>
        <w:t xml:space="preserve">(2) Die nach Absatz 3 zuständigen Überwachungsbehörden können Beförderungsmittel und -behälter sowie deren Lade- und Verpackungsmittel anhalten, um zu prüfen, ob die für das Verbringen oder die Mitnahme in den, durch den oder aus dem Geltungsbereich dieses Gesetzes geltenden Bestimmungen eingehalten sind. Werden Verstöße gegen die in Satz 1 genannten Bestimmungen festgestellt, so können die zuständigen Überwachungsbehörden, soweit erforderlich, Vor-, Familien- und gegebenenfalls Geburtsname, Geburtsdatum und -ort, Wohnort und Staatsangehörigkeit der betroffenen Personen erheben und diese Daten sowie Feststellungen zum Sachverhalt den zuständigen Behörden zum Zweck der Ahndung übermitteln. Für Postsendungen gilt dies nur, wenn zureichende tatsächliche Anhaltspunkte für eine Straftat vorliegen. Das Brief- und Postgeheimnis nach Artikel 10 des Grundgesetzes wird nach Maßgabe der Sätze 2 und 3 eingeschränkt.</w:t>
      </w:r>
    </w:p>
    <w:p>
      <w:r>
        <w:t xml:space="preserve">(3) Das Bundesministerium der Finanzen bestimmt die Zolldienststellen, das Bundesministerium des Innern, für Bau und Heimat bestimmt die Behörden der Bundespolizei, die bei der Überwachung des Verbringens und der Mitnahme von Waffen oder Munition mitwirken. Soweit der grenzpolizeiliche Einzeldienst von Kräften der Länder wahrgenommen wird (§ 2 Abs. 1 und 3 des Bundespolizeigesetzes), wirken diese bei der Überwachung mit.</w:t>
      </w:r>
    </w:p>
    <w:p>
      <w:r>
        <w:rPr>
          <w:color w:val="555555"/>
          <w:sz w:val="17"/>
        </w:rPr>
        <w:t xml:space="preserve">Zitiervorschlag: § 33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