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WaffG 2002 — Allgemeine Erlaubnis zum Verbringen von Waffen oder Munition aus dem Geltungsbereich dieses Gesetzes in andere Mitgliedstaaten</w:t>
      </w:r>
    </w:p>
    <w:p>
      <w:r>
        <w:rPr>
          <w:color w:val="555555"/>
          <w:sz w:val="18"/>
        </w:rPr>
        <w:t xml:space="preserve">Waffengesetz</w:t>
      </w:r>
    </w:p>
    <w:p>
      <w:r>
        <w:rPr>
          <w:color w:val="555555"/>
          <w:sz w:val="18"/>
        </w:rPr>
        <w:t xml:space="preserve">Stand: 01.09.2020 (konsolidierte Textfassung, kein amtliches Inkrafttretensdatum)</w:t>
      </w:r>
    </w:p>
    <w:p>
      <w:r>
        <w:t xml:space="preserve">Gewerbsmäßigen Waffenherstellern oder Waffenhändlern nach § 21 kann abweichend von § 29 allgemein die Erlaubnis zum Verbringen von Waffen oder Munition nach Anlage 1 Abschnitt 3 (Kategorien A 1.2 bis C) aus dem Geltungsbereich dieses Gesetzes zu Waffenhändlern in anderen Mitgliedstaaten für die Dauer von bis zu drei Jahren erteilt werden. Die Erlaubnis kann auf bestimmte Arten von Waffen oder Munition und auf bestimmte Mitgliedstaaten beschränkt werden. Der Inhaber einer Erlaubnis nach Satz 1 hat ein Verbringen auf Grund dieser Erlaubnis dem Bundesverwaltungsamt vorher schriftlich oder elektronisch anzuzeigen.</w:t>
      </w:r>
    </w:p>
    <w:p>
      <w:r>
        <w:rPr>
          <w:color w:val="555555"/>
          <w:sz w:val="17"/>
        </w:rPr>
        <w:t xml:space="preserve">Zitiervorschlag: § 30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