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WaffG 2002 — Umgang mit Waffen oder Munition durch Kinder und Jugendliche</w:t>
      </w:r>
    </w:p>
    <w:p>
      <w:r>
        <w:rPr>
          <w:color w:val="555555"/>
          <w:sz w:val="18"/>
        </w:rPr>
        <w:t xml:space="preserve">Waffengesetz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Jugendliche dürfen im Rahmen eines Ausbildungs- oder Arbeitsverhältnisses abweichend von § 2 Abs. 1 unter Aufsicht eines weisungsbefugten Waffenberechtigten mit Waffen oder Munition umgehen.</w:t>
      </w:r>
    </w:p>
    <w:p>
      <w:r>
        <w:t xml:space="preserve">(2) Jugendliche dürfen abweichend von § 2 Abs. 1 Umgang mit geprüften Reizstoffsprühgeräten haben.</w:t>
      </w:r>
    </w:p>
    <w:p>
      <w:r>
        <w:t xml:space="preserve">(3) Die zuständige Behörde kann für Kinder und Jugendliche allgemein oder für den Einzelfall Ausnahmen von Alterserfordernissen zulassen, wenn besondere Gründe vorliegen und öffentliche Interessen nicht entgegenstehen.</w:t>
      </w:r>
    </w:p>
    <w:p>
      <w:r>
        <w:rPr>
          <w:color w:val="555555"/>
          <w:sz w:val="17"/>
        </w:rPr>
        <w:t xml:space="preserve">Zitiervorschlag: § 3 WaffG 2002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https://recht.nulegal.eu/gesetze/WaffG%202002/3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