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WaffG 2002 — Verbringen von Waffen oder Munition in den, durch den oder aus dem Geltungsbereich dieses Gesetzes</w:t>
      </w:r>
    </w:p>
    <w:p>
      <w:r>
        <w:rPr>
          <w:color w:val="555555"/>
          <w:sz w:val="18"/>
        </w:rPr>
        <w:t xml:space="preserve">Waffengesetz</w:t>
      </w:r>
    </w:p>
    <w:p>
      <w:r>
        <w:rPr>
          <w:color w:val="555555"/>
          <w:sz w:val="18"/>
        </w:rPr>
        <w:t xml:space="preserve">Stand: 01.09.2020 (konsolidierte Textfassung, kein amtliches Inkrafttretensdatum)</w:t>
      </w:r>
    </w:p>
    <w:p>
      <w:r>
        <w:t xml:space="preserve">(1) Eine Erlaubnis zum Verbringen von Waffen oder Munition in den, durch den oder aus dem Geltungsbereich dieses Gesetzes kann erteilt werden, wenn der Antragsteller den sicheren Transport durch einen zum Erwerb oder Besitz dieser Waffen oder Munition Berechtigten gewährleistet. Für eine Erlaubnis zum Verbringen von Waffen oder Munition in den Geltungsbereich dieses Gesetzes ist zusätzlich erforderlich, dass der Empfänger zum Erwerb und Besitz dieser Waffen oder Munition berechtigt ist.</w:t>
      </w:r>
    </w:p>
    <w:p>
      <w:r>
        <w:t xml:space="preserve">(2) Sollen Waffen oder Munition nach Anlage 1 Abschnitt 3 (Kategorien A 1.2 bis C) aus dem Geltungsbereich dieses Gesetzes in einen anderen Mitgliedstaat verbracht werden, wird die Erlaubnis nur erteilt, wenn der andere Mitgliedstaat das Verbringen erlaubt hat oder der Antragsteller glaubhaft gemacht hat, dass nach dem Recht des anderen Mitgliedstaates keine solche Erlaubnis erforderlich ist. Satz 1 gilt entsprechend für das Verbringen aus einem Drittstaat durch den Geltungsbereich dieses Gesetzes in einen anderen Mitgliedstaat.</w:t>
      </w:r>
    </w:p>
    <w:p>
      <w:r>
        <w:rPr>
          <w:color w:val="555555"/>
          <w:sz w:val="17"/>
        </w:rPr>
        <w:t xml:space="preserve">Zitiervorschlag: § 29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