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WaffG 2002 — Erwerb, Besitz und Führen von Schusswaffen und Munition durch Bewachungsunternehmer und ihr Bewachungspersonal</w:t>
      </w:r>
    </w:p>
    <w:p>
      <w:r>
        <w:rPr>
          <w:color w:val="555555"/>
          <w:sz w:val="18"/>
        </w:rPr>
        <w:t xml:space="preserve">Waffengesetz</w:t>
      </w:r>
    </w:p>
    <w:p>
      <w:r>
        <w:rPr>
          <w:color w:val="555555"/>
          <w:sz w:val="18"/>
        </w:rPr>
        <w:t xml:space="preserve">Stand: 02.12.2019 (konsolidierte Textfassung, kein amtliches Inkrafttretensdatum)</w:t>
      </w:r>
    </w:p>
    <w:p>
      <w:r>
        <w:t xml:space="preserve">(1) Ein Bedürfnis zum Erwerb, Besitz und Führen von Schusswaffen wird bei einem Bewachungsunternehmer (§ 34a der Gewerbeordnung) anerkannt, wenn er glaubhaft macht, dass Bewachungsaufträge wahrgenommen werden oder werden sollen, die aus Gründen der Sicherung einer gefährdeten Person im Sinne des § 19 oder eines gefährdeten Objektes Schusswaffen erfordern. Satz 1 gilt entsprechend für Wachdienste als Teil wirtschaftlicher Unternehmungen. Ein nach den Sätzen 1 und 2 glaubhaft gemachtes Bedürfnis umfasst auch den Erwerb und Besitz der für die dort genannten Schusswaffen bestimmten Munition.</w:t>
      </w:r>
    </w:p>
    <w:p>
      <w:r>
        <w:t xml:space="preserve">(2) Die Schusswaffe darf nur bei der tatsächlichen Durchführung eines konkreten Auftrages nach Absatz 1 geführt werden. Der Unternehmer hat dies auch bei seinem Bewachungspersonal in geeigneter Weise sicherzustellen.</w:t>
      </w:r>
    </w:p>
    <w:p>
      <w:r>
        <w:t xml:space="preserve">(3) Wachpersonen, die auf Grund eines Arbeitsverhältnisses Schusswaffen des Erlaubnisinhabers nach dessen Weisung besitzen oder führen sollen, sind der zuständigen Behörde zur Prüfung zu benennen; der Unternehmer soll die betreffende Wachperson in geeigneter Weise vorher über die Benennung unter Hinweis auf die Erforderlichkeit der Verarbeitung personenbezogener Daten bei der Behörde unterrichten. Die Überlassung von Schusswaffen oder Munition darf erst erfolgen, wenn die zuständige Behörde zugestimmt hat. Die Zustimmung ist zu versagen, wenn die Wachperson nicht die Voraussetzungen des § 4 Abs. 1 Nr. 1 bis 3 erfüllt oder die Haftpflichtversicherung des Bewachungsunternehmers das Risiko des Umgangs mit Schusswaffen durch die Wachpersonen nicht umfasst.</w:t>
      </w:r>
    </w:p>
    <w:p>
      <w:r>
        <w:t xml:space="preserve">(4) In einen Waffenschein nach § 10 Abs. 4 kann auch der Zusatz aufgenommen werden, dass die in Absatz 3 bezeichneten Personen die ihnen überlassenen Waffen nach Weisung des Erlaubnisinhabers führen dürfen.</w:t>
      </w:r>
    </w:p>
    <w:p>
      <w:r>
        <w:rPr>
          <w:color w:val="555555"/>
          <w:sz w:val="17"/>
        </w:rPr>
        <w:t xml:space="preserve">Zitiervorschlag: § 28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