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WaffG 2002 — Nichtgewerbsmäßige Waffenherstellung</w:t>
      </w:r>
    </w:p>
    <w:p>
      <w:r>
        <w:rPr>
          <w:color w:val="555555"/>
          <w:sz w:val="18"/>
        </w:rPr>
        <w:t xml:space="preserve">Waffengesetz</w:t>
      </w:r>
    </w:p>
    <w:p>
      <w:r>
        <w:rPr>
          <w:color w:val="555555"/>
          <w:sz w:val="18"/>
        </w:rPr>
        <w:t xml:space="preserve">Stand: 10.06.2019 (konsolidierte Textfassung, kein amtliches Inkrafttretensdatum)</w:t>
      </w:r>
    </w:p>
    <w:p>
      <w:r>
        <w:t xml:space="preserve">(1) Die Erlaubnis zur nichtgewerbsmäßigen Herstellung, Bearbeitung oder Instandsetzung von Schusswaffen wird durch einen Erlaubnisschein erteilt. Sie schließt den Erwerb von zu diesen Tätigkeiten benötigten wesentlichen Teilen von Schusswaffen sowie den Besitz dieser Gegenstände ein.</w:t>
      </w:r>
    </w:p>
    <w:p>
      <w:r>
        <w:t xml:space="preserve">(2) Die Erlaubnis ist auf höchstens drei Jahre zu befristen und auf eine bestimmte Zahl und Art von Schusswaffen und wesentlichen Teilen zu beschränken. Personen, denen Schusswaffen zur Erprobung, Begutachtung, Untersuchung oder für ähnliche Zwecke, die insbesondere eine Bearbeitung oder Instandsetzung erforderlich machen können, überlassen werden, kann die Erlaubnis nach Absatz 1 ohne Beschränkung auf eine bestimmte Zahl und Art von Schusswaffen und wesentlichen Teilen erteilt werden.</w:t>
      </w:r>
    </w:p>
    <w:p>
      <w:r>
        <w:rPr>
          <w:color w:val="555555"/>
          <w:sz w:val="17"/>
        </w:rPr>
        <w:t xml:space="preserve">Zitiervorschlag: § 26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