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WaffG 2002 — Verordnungsermächtigungen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Das Bundesministerium des Innern, für Bau und Heimat wird ermächtigt, durch Rechtsverordnung mit Zustimmung des Bundesrates zur Durchführung des § 24</w:t>
      </w:r>
    </w:p>
    <w:p>
      <w:pPr>
        <w:ind w:left="420"/>
      </w:pPr>
      <w:r>
        <w:t xml:space="preserve">1. Vorschriften zu erlassen über eine besondere Kennzeichnung bestimmter Waffen- und Munitionsarten sowie über die Art, Form und Aufbringung dieser Kennzeichnung,</w:t>
      </w:r>
    </w:p>
    <w:p>
      <w:pPr>
        <w:ind w:left="420"/>
      </w:pPr>
      <w:r>
        <w:t xml:space="preserve">2. zu bestimmen,</w:t>
      </w:r>
    </w:p>
    <w:p>
      <w:pPr>
        <w:ind w:left="780"/>
      </w:pPr>
      <w:r>
        <w:t xml:space="preserve">a) auf welchen wesentlichen Teilen der Schusswaffe die Kennzeichen anzubringen sind und wie die Schusswaffen nach einem Austausch, einer Veränderung oder einer Umarbeitung wesentlicher Teile zu kennzeichnen sind,</w:t>
      </w:r>
    </w:p>
    <w:p>
      <w:pPr>
        <w:ind w:left="780"/>
      </w:pPr>
      <w:r>
        <w:t xml:space="preserve">b) dass bestimmte Waffen- und Munitionsarten von der in § 24 vorgeschriebenen Kennzeichnung ganz oder teilweise befreit sind.</w:t>
      </w:r>
    </w:p>
    <w:p>
      <w:r>
        <w:rPr>
          <w:color w:val="555555"/>
          <w:sz w:val="17"/>
        </w:rPr>
        <w:t xml:space="preserve">Zitiervorschlag: § 25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