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WaffG 2002 — Fachkunde</w:t>
      </w:r>
    </w:p>
    <w:p>
      <w:r>
        <w:rPr>
          <w:color w:val="555555"/>
          <w:sz w:val="18"/>
        </w:rPr>
        <w:t xml:space="preserve">Waffengesetz</w:t>
      </w:r>
    </w:p>
    <w:p>
      <w:r>
        <w:rPr>
          <w:color w:val="555555"/>
          <w:sz w:val="18"/>
        </w:rPr>
        <w:t xml:space="preserve">Stand: 30.06.2020 (konsolidierte Textfassung, kein amtliches Inkrafttretensdatum)</w:t>
      </w:r>
    </w:p>
    <w:p>
      <w:r>
        <w:t xml:space="preserve">(1) Die Fachkunde ist durch eine Prüfung vor der zuständigen Behörde nachzuweisen. Die Fachkunde braucht nicht nachzuweisen, wer die Voraussetzungen für die Eintragung eines Büchsenmacherbetriebes in die Handwerksrolle erfüllt.</w:t>
      </w:r>
    </w:p>
    <w:p>
      <w:r>
        <w:t xml:space="preserve">(2) Das Bundesministerium des Innern, für Bau und Heimat wird ermächtigt, durch Rechtsverordnung mit Zustimmung des Bundesrates Vorschriften über</w:t>
      </w:r>
    </w:p>
    <w:p>
      <w:pPr>
        <w:ind w:left="420"/>
      </w:pPr>
      <w:r>
        <w:t xml:space="preserve">1. die notwendigen Anforderungen an die waffentechnischen und waffenrechtlichen Kenntnisse, auch beschränkt auf bestimmte Waffen- und Munitionsarten (Fachkunde),</w:t>
      </w:r>
    </w:p>
    <w:p>
      <w:pPr>
        <w:ind w:left="420"/>
      </w:pPr>
      <w:r>
        <w:t xml:space="preserve">2. die Prüfung und das Prüfungsverfahren einschließlich der Errichtung von Prüfungsausschüssen,</w:t>
      </w:r>
    </w:p>
    <w:p>
      <w:pPr>
        <w:ind w:left="420"/>
      </w:pPr>
      <w:r>
        <w:t xml:space="preserve">3. die Anforderungen an Art, Umfang und Nachweis der beruflichen Tätigkeit nach Absatz 1 Satz 2</w:t>
      </w:r>
    </w:p>
    <w:p>
      <w:r>
        <w:t xml:space="preserve">zu erlassen.</w:t>
      </w:r>
    </w:p>
    <w:p>
      <w:r>
        <w:rPr>
          <w:color w:val="555555"/>
          <w:sz w:val="17"/>
        </w:rPr>
        <w:t xml:space="preserve">Zitiervorschlag: § 22 WaffG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https://recht.nulegal.eu/gesetze/WaffG%202002/22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