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WaffG 2002 — Stellvertretungserlaubnis</w:t>
      </w:r>
    </w:p>
    <w:p>
      <w:r>
        <w:rPr>
          <w:color w:val="555555"/>
          <w:sz w:val="18"/>
        </w:rPr>
        <w:t xml:space="preserve">Waffengesetz</w:t>
      </w:r>
    </w:p>
    <w:p>
      <w:r>
        <w:rPr>
          <w:color w:val="555555"/>
          <w:sz w:val="18"/>
        </w:rPr>
        <w:t xml:space="preserve">Stand: 10.06.2019 (konsolidierte Textfassung, kein amtliches Inkrafttretensdatum)</w:t>
      </w:r>
    </w:p>
    <w:p>
      <w:r>
        <w:t xml:space="preserve">Wer ein erlaubnisbedürftiges Waffengewerbe durch einen Stellvertreter betreiben will, bedarf einer Stellvertretererlaubnis; sie wird dem Erlaubnisinhaber für einen bestimmten Stellvertreter erteilt und kann befristet werden. Dies gilt auch für die Beauftragung einer Person mit der Leitung einer Zweigniederlassung oder einer unselbstständigen Zweigstelle. Die Vorschriften des § 21 gelten entsprechend.</w:t>
      </w:r>
    </w:p>
    <w:p>
      <w:r>
        <w:rPr>
          <w:color w:val="555555"/>
          <w:sz w:val="17"/>
        </w:rPr>
        <w:t xml:space="preserve">Zitiervorschlag: § 21a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