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WaffG 2002 — Grundsätze des Umgangs mit Waffen oder Munition, Waffenliste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Umgang mit Waffen oder Munition ist nur Personen gestattet, die das 18. Lebensjahr vollendet haben.</w:t>
      </w:r>
    </w:p>
    <w:p>
      <w:r>
        <w:t xml:space="preserve">(2) Der Umgang mit Waffen oder Munition, die in der Anlage 2 (Waffenliste) Abschnitt 2 zu diesem Gesetz genannt sind, bedarf der Erlaubnis.</w:t>
      </w:r>
    </w:p>
    <w:p>
      <w:r>
        <w:t xml:space="preserve">(3) Der Umgang mit Waffen oder Munition, die in der Anlage 2 Abschnitt 1 zu diesem Gesetz genannt sind, ist verboten.</w:t>
      </w:r>
    </w:p>
    <w:p>
      <w:r>
        <w:t xml:space="preserve">(4) Waffen oder Munition, mit denen der Umgang ganz oder teilweise von der Erlaubnispflicht oder von einem Verbot ausgenommen ist, sind in der Anlage 2 Abschnitt 1 und 2 genannt. Ferner sind in der Anlage 2 Abschnitt 3 die Waffen und Munition genannt, auf die dieses Gesetz ganz oder teilweise nicht anzuwenden ist.</w:t>
      </w:r>
    </w:p>
    <w:p>
      <w:r>
        <w:t xml:space="preserve">(5) Bestehen Zweifel darüber, ob ein Gegenstand von diesem Gesetz erfasst wird oder wie er nach Maßgabe der Begriffsbestimmungen in Anlage 1 Abschnitt 1 und 3 und der Anlage 2 einzustufen ist, so entscheidet auf Antrag die zuständige Behörde. Antragsberechtigt sind</w:t>
      </w:r>
    </w:p>
    <w:p>
      <w:pPr>
        <w:ind w:left="420"/>
      </w:pPr>
      <w:r>
        <w:t xml:space="preserve">1. Hersteller, Importeure, Erwerber oder Besitzer des Gegenstandes, soweit sie ein berechtigtes Interesse an der Entscheidung nach Satz 1 glaubhaft machen können,</w:t>
      </w:r>
    </w:p>
    <w:p>
      <w:pPr>
        <w:ind w:left="420"/>
      </w:pPr>
      <w:r>
        <w:t xml:space="preserve">2. die zuständigen Behörden des Bundes und der Länder.</w:t>
      </w:r>
    </w:p>
    <w:p>
      <w:r>
        <w:t xml:space="preserve">Die nach Landesrecht zuständigen Behörden sind vor der Entscheidung zu hören. Die Entscheidung ist für den Geltungsbereich dieses Gesetzes allgemein verbindlich. Sie ist im Bundesanzeiger bekannt zu machen.</w:t>
      </w:r>
    </w:p>
    <w:p>
      <w:r>
        <w:rPr>
          <w:color w:val="555555"/>
          <w:sz w:val="17"/>
        </w:rPr>
        <w:t xml:space="preserve">Zitiervorschlag: § 2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