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WaffG 2002 — Erwerb und Besitz von Schusswaffen und Munition, Führen von Schusswaffen durch gefährdete Personen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Bedürfnis zum Erwerb und Besitz einer Schusswaffe und der dafür bestimmten Munition wird bei einer Person anerkannt, die glaubhaft macht,</w:t>
      </w:r>
    </w:p>
    <w:p>
      <w:pPr>
        <w:ind w:left="420"/>
      </w:pPr>
      <w:r>
        <w:t xml:space="preserve">1. wesentlich mehr als die Allgemeinheit durch Angriffe auf Leib oder Leben gefährdet zu sein und</w:t>
      </w:r>
    </w:p>
    <w:p>
      <w:pPr>
        <w:ind w:left="420"/>
      </w:pPr>
      <w:r>
        <w:t xml:space="preserve">2. dass der Erwerb der Schusswaffe und der Munition geeignet und erforderlich ist, diese Gefährdung zu mindern.</w:t>
      </w:r>
    </w:p>
    <w:p>
      <w:r>
        <w:t xml:space="preserve">(2) Ein Bedürfnis zum Führen einer Schusswaffe wird anerkannt, wenn glaubhaft gemacht ist, dass die Voraussetzungen nach Absatz 1 auch außerhalb der eigenen Wohnung, Geschäftsräume oder des eigenen befriedeten Besitztums vorliegen.</w:t>
      </w:r>
    </w:p>
    <w:p>
      <w:r>
        <w:rPr>
          <w:color w:val="555555"/>
          <w:sz w:val="17"/>
        </w:rPr>
        <w:t xml:space="preserve">Zitiervorschlag: § 19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