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WaffG 2002 — Erwerb und Besitz von Schusswaffen oder Munition durch Waffen- oder Munitionssammler</w:t>
      </w:r>
    </w:p>
    <w:p>
      <w:r>
        <w:rPr>
          <w:color w:val="555555"/>
          <w:sz w:val="18"/>
        </w:rPr>
        <w:t xml:space="preserve">Waffengesetz</w:t>
      </w:r>
    </w:p>
    <w:p>
      <w:r>
        <w:rPr>
          <w:color w:val="555555"/>
          <w:sz w:val="18"/>
        </w:rPr>
        <w:t xml:space="preserve">Stand: 10.06.2019 (konsolidierte Textfassung, kein amtliches Inkrafttretensdatum)</w:t>
      </w:r>
    </w:p>
    <w:p>
      <w:r>
        <w:t xml:space="preserve">(1) Ein Bedürfnis zum Erwerb und Besitz von Schusswaffen oder Munition wird bei Personen anerkannt, die glaubhaft machen, dass sie Schusswaffen oder Munition für eine kulturhistorisch bedeutsame Sammlung (Waffensammler, Munitionssammler) benötigen; kulturhistorisch bedeutsam ist auch eine wissenschaftlich-technische Sammlung.</w:t>
      </w:r>
    </w:p>
    <w:p>
      <w:r>
        <w:t xml:space="preserve">(2) Die Erlaubnis zum Erwerb von Schusswaffen oder Munition wird in der Regel unbefristet erteilt. Sie kann mit der Auflage verbunden werden, der Behörde in bestimmten Zeitabständen eine Aufstellung über den Bestand an Schusswaffen vorzulegen.</w:t>
      </w:r>
    </w:p>
    <w:p>
      <w:r>
        <w:t xml:space="preserve">(3) Die Erlaubnis zum Erwerb und Besitz von Schusswaffen oder Munition wird auch einem Erben, Vermächtnisnehmer oder durch Auflage Begünstigten (Erwerber infolge eines Erbfalls) erteilt, der eine vorhandene Sammlung des Erblassers im Sinne des Absatzes 1 fortführt.</w:t>
      </w:r>
    </w:p>
    <w:p>
      <w:r>
        <w:rPr>
          <w:color w:val="555555"/>
          <w:sz w:val="17"/>
        </w:rPr>
        <w:t xml:space="preserve">Zitiervorschlag: § 17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