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WaffG 2002 — Erwerb und Besitz von Schusswaffen und Munition durch Brauchtumsschützen, Führen von Waffen und Schießen zur Brauchtumspflege</w:t>
      </w:r>
    </w:p>
    <w:p>
      <w:r>
        <w:rPr>
          <w:color w:val="555555"/>
          <w:sz w:val="18"/>
        </w:rPr>
        <w:t xml:space="preserve">Waffengesetz</w:t>
      </w:r>
    </w:p>
    <w:p>
      <w:r>
        <w:rPr>
          <w:color w:val="555555"/>
          <w:sz w:val="18"/>
        </w:rPr>
        <w:t xml:space="preserve">Stand: 10.06.2019 (konsolidierte Textfassung, kein amtliches Inkrafttretensdatum)</w:t>
      </w:r>
    </w:p>
    <w:p>
      <w:r>
        <w:t xml:space="preserve">(1) Ein Bedürfnis für den Erwerb und Besitz von Einzellader-Langwaffen und bis zu drei Repetier-Langwaffen sowie der dafür bestimmten Munition wird bei Mitgliedern einer zur Brauchtumspflege Waffen tragenden Vereinigung (Brauchtumsschützen) anerkannt, wenn sie durch eine Bescheinigung der Brauchtumsschützenvereinigung glaubhaft machen, dass sie diese Waffen zur Pflege des Brauchtums benötigen.</w:t>
      </w:r>
    </w:p>
    <w:p>
      <w:r>
        <w:t xml:space="preserve">(2) Für Veranstaltungen, bei denen es Brauch ist, aus besonderem Anlass Waffen zu tragen, kann für die Dauer von fünf Jahren die Ausnahmebewilligung zum Führen von in Absatz 1 Satz 1 genannten Schusswaffen sowie von sonstigen zur Brauchtumspflege benötigten Waffen im Sinne des § 1 Abs. 2 Nr. 2 einem verantwortlichen Leiter der Brauchtumsschützenvereinigung unter den Voraussetzungen des § 42 Abs. 2 erteilt werden, wenn gewährleistet ist, dass die erforderliche Sorgfalt beachtet wird.</w:t>
      </w:r>
    </w:p>
    <w:p>
      <w:r>
        <w:t xml:space="preserve">(3) Die Erlaubnis zum Schießen mit den in Absatz 1 Satz 1 genannten Schusswaffen außerhalb von Schießstätten mit Kartuschenmunition bei Veranstaltungen nach Absatz 2 kann für die Dauer von fünf Jahren einem verantwortlichen Leiter der Brauchtumsschützenvereinigung erteilt werden. Sie ist zu versagen, wenn</w:t>
      </w:r>
    </w:p>
    <w:p>
      <w:pPr>
        <w:ind w:left="420"/>
      </w:pPr>
      <w:r>
        <w:t xml:space="preserve">1. in dessen Person eine Voraussetzung nach § 4 Abs. 1 Nr. 1 bis 4 nicht vorliegt,</w:t>
      </w:r>
    </w:p>
    <w:p>
      <w:pPr>
        <w:ind w:left="420"/>
      </w:pPr>
      <w:r>
        <w:t xml:space="preserve">2. die Beachtung der erforderlichen Sorgfalt nicht gewährleistet ist,</w:t>
      </w:r>
    </w:p>
    <w:p>
      <w:pPr>
        <w:ind w:left="420"/>
      </w:pPr>
      <w:r>
        <w:t xml:space="preserve">3. Gefahren oder erhebliche Nachteile für Einzelne oder die Allgemeinheit zu befürchten sind und nicht durch Auflagen verhindert werden können oder</w:t>
      </w:r>
    </w:p>
    <w:p>
      <w:pPr>
        <w:ind w:left="420"/>
      </w:pPr>
      <w:r>
        <w:t xml:space="preserve">4. kein Haftpflichtversicherungsschutz gemäß § 4 Abs. 1 Nr. 5 nachgewiesen ist.</w:t>
      </w:r>
    </w:p>
    <w:p>
      <w:r>
        <w:t xml:space="preserve">Die Erlaubnis nach Satz 1 kann mit der Ausnahmebewilligung nach Absatz 2 verbunden werden.</w:t>
      </w:r>
    </w:p>
    <w:p>
      <w:r>
        <w:t xml:space="preserve">(4) Brauchtumsschützen dürfen in den Fällen der Absätze 2 und 3 oder bei Vorliegen einer Ausnahmebewilligung nach § 42 Abs. 2 die Schusswaffen ohne Erlaubnis führen und damit schießen. Sie dürfen die zur Pflege des Brauchtums benötigten Schusswaffen auch im Zusammenhang mit Veranstaltungen, bei denen es Brauch ist, aus besonderem Anlass Waffen zu tragen, für die eine Erlaubnis nach Absatz 2 oder nach § 42 Abs. 2 erteilt wurde, ohne Erlaubnis führen.</w:t>
      </w:r>
    </w:p>
    <w:p>
      <w:r>
        <w:rPr>
          <w:color w:val="555555"/>
          <w:sz w:val="17"/>
        </w:rPr>
        <w:t xml:space="preserve">Zitiervorschlag: § 16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