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WaffG 2002 — Erwerb und Besitz von Schusswaffen oder Munition mit Bezug zu einem anderen Mitgliedstaat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Erlaubnis zum Erwerb und Besitz einer Schusswaffe nach Anlage 1 Abschnitt 3 Nr. 1 bis 3 (Kategorien A bis C) oder von Munition für eine solche darf einer Person, die ihren gewöhnlichen Aufenthalt in einem anderen Mitgliedstaat hat, nur erteilt werden, wenn sie</w:t>
      </w:r>
    </w:p>
    <w:p>
      <w:pPr>
        <w:ind w:left="420"/>
      </w:pPr>
      <w:r>
        <w:t xml:space="preserve">1. die Schusswaffen oder die Munition in den Mitgliedstaat im Wege der Selbstvornahme verbringen wird oder</w:t>
      </w:r>
    </w:p>
    <w:p>
      <w:pPr>
        <w:ind w:left="420"/>
      </w:pPr>
      <w:r>
        <w:t xml:space="preserve">2. eine schriftliche oder elektronische Erklärung vorlegt, dass und aus welchen Gründen sie die Schusswaffen oder die Munition nur im Geltungsbereich dieses Gesetzes zu besitzen beabsichtigt.</w:t>
      </w:r>
    </w:p>
    <w:p>
      <w:r>
        <w:t xml:space="preserve">Die Erlaubnis zum Erwerb oder Besitz einer Schusswaffe nach Anlage 1 Abschnitt 3 Nr. 2 (Kategorie B) oder Munition für eine solche darf nur erteilt werden, wenn über die Voraussetzungen des Satzes 1 hinaus eine vorherige Zustimmung dieses Mitgliedstaates hierzu vorgelegt wird.</w:t>
      </w:r>
    </w:p>
    <w:p>
      <w:r>
        <w:t xml:space="preserve">(2) Für eine Person mit gewöhnlichem Aufenthalt im Geltungsbereich dieses Gesetzes, die eine Schusswaffe nach Anlage 1 Abschnitt 3 Nr. 2 (Kategorie B) oder Munition für eine solche in einem anderen Mitgliedstaat mit einer Erlaubnis dieses Staates erwerben will, wird eine Erlaubnis erteilt, wenn die Voraussetzungen nach § 4 Abs. 1 Nr. 2 vorliegen.</w:t>
      </w:r>
    </w:p>
    <w:p>
      <w:r>
        <w:rPr>
          <w:color w:val="555555"/>
          <w:sz w:val="17"/>
        </w:rPr>
        <w:t xml:space="preserve">Zitiervorschlag: § 11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