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WaffG 2002 — Gegenstand und Zweck des Gesetzes, Begriffsbestimmungen</w:t>
      </w:r>
    </w:p>
    <w:p>
      <w:r>
        <w:rPr>
          <w:color w:val="555555"/>
          <w:sz w:val="18"/>
        </w:rPr>
        <w:t xml:space="preserve">Waffengesetz</w:t>
      </w:r>
    </w:p>
    <w:p>
      <w:r>
        <w:rPr>
          <w:color w:val="555555"/>
          <w:sz w:val="18"/>
        </w:rPr>
        <w:t xml:space="preserve">Stand: 01.09.2020 (konsolidierte Textfassung, kein amtliches Inkrafttretensdatum)</w:t>
      </w:r>
    </w:p>
    <w:p>
      <w:r>
        <w:t xml:space="preserve">(1) Dieses Gesetz regelt den Umgang mit Waffen oder Munition unter Berücksichtigung der Belange der öffentlichen Sicherheit und Ordnung.</w:t>
      </w:r>
    </w:p>
    <w:p>
      <w:r>
        <w:t xml:space="preserve">(2) Waffen sind</w:t>
      </w:r>
    </w:p>
    <w:p>
      <w:pPr>
        <w:ind w:left="420"/>
      </w:pPr>
      <w:r>
        <w:t xml:space="preserve">1. Schusswaffen oder ihnen gleichgestellte Gegenstände und</w:t>
      </w:r>
    </w:p>
    <w:p>
      <w:pPr>
        <w:ind w:left="420"/>
      </w:pPr>
      <w:r>
        <w:t xml:space="preserve">2. tragbare Gegenstände,</w:t>
      </w:r>
    </w:p>
    <w:p>
      <w:pPr>
        <w:ind w:left="780"/>
      </w:pPr>
      <w:r>
        <w:t xml:space="preserve">a) die ihrem Wesen nach dazu bestimmt sind, die Angriffs- oder Abwehrfähigkeit von Menschen zu beseitigen oder herabzusetzen, insbesondere Hieb- und Stoßwaffen;</w:t>
      </w:r>
    </w:p>
    <w:p>
      <w:pPr>
        <w:ind w:left="780"/>
      </w:pPr>
      <w:r>
        <w:t xml:space="preserve">b) die, ohne dazu bestimmt zu sein, insbesondere wegen ihrer Beschaffenheit, Handhabung oder Wirkungsweise geeignet sind, die Angriffs- oder Abwehrfähigkeit von Menschen zu beseitigen oder herabzusetzen, und die in diesem Gesetz genannt sind.</w:t>
      </w:r>
    </w:p>
    <w:p>
      <w:r>
        <w:t xml:space="preserve">(3) Umgang mit einer Waffe oder Munition hat, wer diese erwirbt, besitzt, überlässt, führt, verbringt, mitnimmt, damit schießt, herstellt, bearbeitet, instand setzt oder damit Handel treibt. Umgang mit einer Schusswaffe hat auch, wer diese unbrauchbar macht.</w:t>
      </w:r>
    </w:p>
    <w:p>
      <w:r>
        <w:t xml:space="preserve">(4) Die Begriffe der Waffen und Munition sowie die Einstufung von Gegenständen nach Absatz 2 Nr. 2 Buchstabe b als Waffen, die Begriffe der Arten des Umgangs und sonstige waffenrechtliche Begriffe sind in der Anlage 1 (Begriffsbestimmungen) zu diesem Gesetz näher geregelt.</w:t>
      </w:r>
    </w:p>
    <w:p>
      <w:r>
        <w:rPr>
          <w:color w:val="555555"/>
          <w:sz w:val="17"/>
        </w:rPr>
        <w:t xml:space="preserve">Zitiervorschlag: § 1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