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Wabau-AusbV 2004 — Staatliche Anerkennung des Ausbildungsberufes</w:t>
      </w:r>
    </w:p>
    <w:p>
      <w:r>
        <w:rPr>
          <w:color w:val="555555"/>
          <w:sz w:val="18"/>
        </w:rPr>
        <w:t xml:space="preserve">Verordnung über die Berufsausbildung zum Wasserbauer/zur Wasserbauerin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Wasserbauer/Wasserbauerin wird staatlich anerkannt. Soweit die Ausbildung im Bereich des öffentlichen Dienstes stattfindet, ist er ein Ausbildungsberuf des öffentlichen Dienstes. Im Übrigen ist er ein Ausbildungsberuf der gewerblichen Wirtschaft.</w:t>
      </w:r>
    </w:p>
    <w:p>
      <w:r>
        <w:rPr>
          <w:color w:val="555555"/>
          <w:sz w:val="17"/>
        </w:rPr>
        <w:t xml:space="preserve">Zitiervorschlag: § 1 Wabau-AusbV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https://recht.nulegal.eu/gesetze/Wabau-AusbV%202004/1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