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WaZV (Brandenburg) — Inkrafttreten</w:t>
      </w:r>
    </w:p>
    <w:p>
      <w:r>
        <w:rPr>
          <w:color w:val="555555"/>
          <w:sz w:val="18"/>
        </w:rPr>
        <w:t xml:space="preserve">Wasserbehördenzuständigkeitsverordnung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1. Dezember 2008 in Kraft.</w:t>
      </w:r>
    </w:p>
    <w:p>
      <w:r>
        <w:t xml:space="preserve">Potsdam, den 29. Oktober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In Vertretung</w:t>
      </w:r>
    </w:p>
    <w:p>
      <w:r>
        <w:t xml:space="preserve">Dietmar Schulze</w:t>
      </w:r>
    </w:p>
    <w:p>
      <w:r>
        <w:rPr>
          <w:color w:val="555555"/>
          <w:sz w:val="17"/>
        </w:rPr>
        <w:t xml:space="preserve">Zitiervorschlag: § 3 WaZV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