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WaZV (Brandenburg) — Zuständigkeiten der oberen Wasserbehörde</w:t>
      </w:r>
    </w:p>
    <w:p>
      <w:r>
        <w:rPr>
          <w:color w:val="555555"/>
          <w:sz w:val="18"/>
        </w:rPr>
        <w:t xml:space="preserve">Wasserbehördenzuständigkeitsverordnung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obere Wasserbehörde ist zuständig für:</w:t>
      </w:r>
    </w:p>
    <w:p>
      <w:r>
        <w:t xml:space="preserve">Genehmigungen nach § 60 Absatz 3 des Wasserhaushaltsgesetzes,</w:t>
      </w:r>
    </w:p>
    <w:p>
      <w:r>
        <w:t xml:space="preserve">Planfeststellungen und Plangenehmigungen nach § 68 des Wasserhaushaltsgesetzes,</w:t>
      </w:r>
    </w:p>
    <w:p>
      <w:r>
        <w:t xml:space="preserve">Planfeststellungen und Plangenehmigungen nach § 129a Absatz 1 des Brandenburgischen Wassergesetzes,</w:t>
      </w:r>
    </w:p>
    <w:p>
      <w:r>
        <w:t xml:space="preserve">Erlaubnisse, gehobene Erlaubnisse für Abwassereinleitungen</w:t>
      </w:r>
    </w:p>
    <w:p>
      <w:r>
        <w:t xml:space="preserve">von organisch belastetem Abwasser mit mehr als 3 000 Kilogramm je Tag bestehendem biochemischen Sauerstoffbedarf an fünf Tagen, gemessen im Rohabwasser (BSB5 roh), oder</w:t>
      </w:r>
    </w:p>
    <w:p>
      <w:r>
        <w:t xml:space="preserve">von mehr als 1 500 Kubikmeter anorganisch belastetem und sonstigem Abwasser in zwei Stunden,</w:t>
      </w:r>
    </w:p>
    <w:p>
      <w:r>
        <w:t xml:space="preserve">Genehmigung nach § 71 des Brandenburgischen Wassergesetzes von Abwasserbehandlungsanlagen in einer Größenordnung nach Nummer 4,</w:t>
      </w:r>
    </w:p>
    <w:p>
      <w:r>
        <w:t xml:space="preserve">Erlaubnisse, gehobene Erlaubnisse und Bewilligungen für Oberflächenwasserentnahmen mit einer mittleren täglichen Entnahmemenge von mehr als 5 000 Kubikmeter,</w:t>
      </w:r>
    </w:p>
    <w:p>
      <w:r>
        <w:t xml:space="preserve">Erlaubnisse, gehobene Erlaubnisse und Bewilligungen für Grundwasserentnahmen mit einer mittleren täglichen Entnahmemenge ab 2 000 Kubikmeter,</w:t>
      </w:r>
    </w:p>
    <w:p>
      <w:r>
        <w:t xml:space="preserve">Eignungsfeststellungen nach § 63 des Wasserhaushaltsgesetzes, Entscheidungen und Prüfungen gemäß § 41 Absatz 2 und 3 der Verordnung über Anlagen zum Umgang mit wassergefährdenden Stoffen,</w:t>
      </w:r>
    </w:p>
    <w:p>
      <w:r>
        <w:t xml:space="preserve">die Erhebung des Wassernutzungsentgeltes nach § 40 des Brandenburgischen Wassergesetzes,</w:t>
      </w:r>
    </w:p>
    <w:p>
      <w:r>
        <w:t xml:space="preserve">Erteilung des Einvernehmens nach § 92 Absatz 1 Satz 2 des Brandenburgischen Wassergesetzes und die Erteilung des Einvernehmens oder des Benehmens nach § 19 Absatz 3 des Wasserhaushaltsgesetzes in den Fällen der Nummern 4, 6 und 7,</w:t>
      </w:r>
    </w:p>
    <w:p>
      <w:r>
        <w:t xml:space="preserve">Feststellung, Änderung und Widerruf alter Rechte und Befugnisse, soweit ihr die Zuständigkeit für die Neuerteilung zugewiesen ist.</w:t>
      </w:r>
    </w:p>
    <w:p>
      <w:r>
        <w:t xml:space="preserve">Das schließt alle mit den Entscheidungen im Zusammenhang stehenden Aufgaben der Gewässeraufsicht gemäß § 100 des Wasserhaushaltsgesetzes, insbesondere Änderung, Aufhebung und Überwachung, sowie die Aufsicht über Anlagen nach § 94 Absatz 1 Satz 1 des Brandenburgischen Wassergesetzes ein. Die obere Wasserbehörde ist Verwaltungsbehörde im Sinne des § 36 Absatz 1 Nummer 1 des Gesetzes über Ordnungswidrigkeiten, wenn sie für die Überwachung der Einhaltung einer Entscheidung nach Satz 1 zuständig ist oder ihr die Aufsicht über Anlagen nach § 94 Absatz 1 Satz 1 des Brandenburgischen Wassergesetzes obliegt. Für Ordnungswidrigkeiten nach § 145 Absatz 2 des Brandenburgischen Wassergesetzes ist die obere Wasserbehörde Verwaltungsbehörde im Sinne des § 36 Absatz 1 Nummer 1 des Gesetzes über Ordnungswidrigkeiten, wenn sie für den Erlass des Verwaltungsaktes zuständig ist.</w:t>
      </w:r>
    </w:p>
    <w:p>
      <w:r>
        <w:rPr>
          <w:color w:val="555555"/>
          <w:sz w:val="17"/>
        </w:rPr>
        <w:t xml:space="preserve">Zitiervorschlag: § 2 WaZV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