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WaStrVermRG</w:t>
      </w:r>
    </w:p>
    <w:p>
      <w:r>
        <w:rPr>
          <w:color w:val="555555"/>
          <w:sz w:val="18"/>
        </w:rPr>
        <w:t xml:space="preserve">Gesetz über die vermögensrechtlichen Verhältnisse der Bundeswasserstraßen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tritt am Tage nach seiner Verkündung in Kraft.</w:t>
      </w:r>
    </w:p>
    <w:p>
      <w:r>
        <w:rPr>
          <w:color w:val="555555"/>
          <w:sz w:val="17"/>
        </w:rPr>
        <w:t xml:space="preserve">Zitiervorschlag: § 11 WaStrVermRG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https://recht.nulegal.eu/gesetze/WaStrVermRG/11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