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WaStrVermRG</w:t>
      </w:r>
    </w:p>
    <w:p>
      <w:r>
        <w:rPr>
          <w:color w:val="555555"/>
          <w:sz w:val="18"/>
        </w:rPr>
        <w:t xml:space="preserve">Gesetz über die vermögensrechtlichen Verhältnisse der Bundeswasserstraßen</w:t>
      </w:r>
    </w:p>
    <w:p>
      <w:r>
        <w:rPr>
          <w:color w:val="555555"/>
          <w:sz w:val="18"/>
        </w:rPr>
        <w:t xml:space="preserve">Stand: 10.06.2019 (konsolidierte Textfassung, kein amtliches Inkrafttretensdatum)</w:t>
      </w:r>
    </w:p>
    <w:p>
      <w:r>
        <w:t xml:space="preserve">(1) Die bisherigen Reichswasserstraßen (Binnen- und Seewasserstraßen) sind mit Wirkung vom 24. Mai 1949 als Bundeswasserstraßen Eigentum des Bundes. Vom gleichen Zeitpunkt ist der Bund Inhaber aller sonstigen Vermögensrechte, die dem Deutschen Reich gehörten und Zwecken der Verwaltung der Reichswasserstraßen und des Leuchtfeuerwesens sowie anderen navigatorischen Aufgaben dienten oder die ausschließlich für diese Zwecke begründet oder bestimmt worden sind. Dies gilt auch für Rechte, die durch Gesetz für unübertragbar oder nur auf Grund besonderer Vereinbarung für übertragbar erklärt sind. Die in dem Gesetz über den Staatsvertrag, betreffend den Übergang der Wasserstraßen von den Ländern auf das Deutsche Reich vom 29. Juli 1921 (Reichsgesetzbl. S. 961) und den Nachträgen hierzu vom 18. Februar 1922 (Reichsgesetzbl. S. 222) und vom 22. Dezember 1928 (Reichsgesetzbl. 1929 II S. 1) getroffene Regelung gilt sinngemäß weiter.</w:t>
      </w:r>
    </w:p>
    <w:p>
      <w:r>
        <w:t xml:space="preserve">(2) (weggefallen)</w:t>
      </w:r>
    </w:p>
    <w:p>
      <w:r>
        <w:t xml:space="preserve">(3) (weggefallen)</w:t>
      </w:r>
    </w:p>
    <w:p>
      <w:r>
        <w:rPr>
          <w:color w:val="555555"/>
          <w:sz w:val="17"/>
        </w:rPr>
        <w:t xml:space="preserve">Zitiervorschlag: § 1 WaStrVermRG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https://recht.nulegal.eu/gesetze/WaStrVermRG/1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