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WaStrTraveÜbgV</w:t>
      </w:r>
    </w:p>
    <w:p>
      <w:r>
        <w:rPr>
          <w:color w:val="555555"/>
          <w:sz w:val="18"/>
        </w:rPr>
        <w:t xml:space="preserve">Verordnung über den Übergang von zur Bundeswasserstraße Trave gehörenden Nebenstrecken auf die Hansestadt Lübeck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WaStrTraveÜbgV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https://recht.nulegal.eu/gesetze/WaStrTrave%C3%9CbgV/3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WaStrTraveÜbgV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