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WaStrOsteÜbgV</w:t>
      </w:r>
    </w:p>
    <w:p>
      <w:r>
        <w:rPr>
          <w:color w:val="555555"/>
          <w:sz w:val="18"/>
        </w:rPr>
        <w:t xml:space="preserve">Verordnung zum Übergang einer Teilstrecke der Bundeswasserstraße Oste auf das Land Niedersachsen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2010 in Kraft.</w:t>
      </w:r>
    </w:p>
    <w:p>
      <w:r>
        <w:rPr>
          <w:color w:val="555555"/>
          <w:sz w:val="17"/>
        </w:rPr>
        <w:t xml:space="preserve">Zitiervorschlag: § 3 WaStrOsteÜbgV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https://recht.nulegal.eu/gesetze/WaStrOste%C3%9CbgV/3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