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WaStrNOKanalÜbgV</w:t>
      </w:r>
    </w:p>
    <w:p>
      <w:r>
        <w:rPr>
          <w:color w:val="555555"/>
          <w:sz w:val="18"/>
        </w:rPr>
        <w:t xml:space="preserve">Verordnung über den Übergang von der zur Bundeswasserstraße Nord-Ostsee-Kanal gehörenden Nebenstrecke Obereidersee mit Enge auf die Städte Rendsburg und Büdelsdorf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Tage nach der Verkündung in Kraft.</w:t>
      </w:r>
    </w:p>
    <w:p>
      <w:r>
        <w:rPr>
          <w:color w:val="555555"/>
          <w:sz w:val="17"/>
        </w:rPr>
        <w:t xml:space="preserve">Zitiervorschlag: § 3 WaStrNOKanalÜbgV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https://recht.nulegal.eu/gesetze/WaStrNOKanal%C3%9CbgV/3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