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WaStrLüheÜbgV</w:t>
      </w:r>
    </w:p>
    <w:p>
      <w:r>
        <w:rPr>
          <w:color w:val="555555"/>
          <w:sz w:val="18"/>
        </w:rPr>
        <w:t xml:space="preserve">Verordnung über den Übergang einer Teilstrecke der Bundeswasserstraße Lühe auf den Unterhaltungsverband Nummer 15 Aue, den Deichverband der I. Meile Altenlandes, den Deichverband der II. Meile Alten Landes und den Flecken Horneburg</w:t>
      </w:r>
    </w:p>
    <w:p>
      <w:r>
        <w:rPr>
          <w:color w:val="555555"/>
          <w:sz w:val="18"/>
        </w:rPr>
        <w:t xml:space="preserve">Stand: 10.06.2019 (konsolidierte Textfassung, kein amtliches Inkrafttretensdatum)</w:t>
      </w:r>
    </w:p>
    <w:p>
      <w:r>
        <w:t xml:space="preserve">Auf Grund des § 2 Absatz 1 Satz 2 in Verbindung mit Absatz 2 des Bundeswasserstraßengesetzes in der Fassung der Bekanntmachung vom 23. Mai 2007 (BGBl. I S. 962; 2008 I S. 1980), von denen § 2 Absatz 1 Satz 2 zuletzt durch Artikel 522 Nummer 1 der Verordnung vom 31. August 2015 (BGBl. I S. 1474) geändert worden ist, verordnet das Bundesministerium für Verkehr und digitale Infrastruktur im Einvernehmen mit dem Bundesministerium der Finanzen:</w:t>
      </w:r>
    </w:p>
    <w:p>
      <w:r>
        <w:rPr>
          <w:color w:val="555555"/>
          <w:sz w:val="17"/>
        </w:rPr>
        <w:t xml:space="preserve">Zitiervorschlag: Eingangsformel WaStrLüheÜbgV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https://recht.nulegal.eu/gesetze/WaStrL%C3%BChe%C3%9CbgV/eingangsformel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