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WaStrLüheÜbgV</w:t>
      </w:r>
    </w:p>
    <w:p>
      <w:r>
        <w:rPr>
          <w:color w:val="555555"/>
          <w:sz w:val="18"/>
        </w:rPr>
        <w:t xml:space="preserve">Verordnung über den Übergang einer Teilstrecke der Bundeswasserstraße Lühe auf den Unterhaltungsverband Nummer 15 Aue, den Deichverband der I. Meile Altenlandes, den Deichverband der II. Meile Alten Landes und den Flecken Horneburg</w:t>
      </w:r>
    </w:p>
    <w:p>
      <w:r>
        <w:rPr>
          <w:color w:val="555555"/>
          <w:sz w:val="18"/>
        </w:rPr>
        <w:t xml:space="preserve">Stand: 10.06.2019 (konsolidierte Textfassung, kein amtliches Inkrafttretensdatum)</w:t>
      </w:r>
    </w:p>
    <w:p>
      <w:r>
        <w:t xml:space="preserve">Diese Verordnung tritt am Tag nach der Verkündung in Kraft.</w:t>
      </w:r>
    </w:p>
    <w:p>
      <w:r>
        <w:rPr>
          <w:color w:val="555555"/>
          <w:sz w:val="17"/>
        </w:rPr>
        <w:t xml:space="preserve">Zitiervorschlag: § 3 WaStrLüheÜbgV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https://recht.nulegal.eu/gesetze/WaStrL%C3%BChe%C3%9CbgV/3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