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WaStrGTalspErmV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Zulassung des Befahrens von Talsperren und Speicherbecken mit Wasserfahrzeugen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 und für das Post- und Fernmeldewesen</w:t>
      </w:r>
    </w:p>
    <w:p>
      <w:r>
        <w:rPr>
          <w:color w:val="555555"/>
          <w:sz w:val="17"/>
        </w:rPr>
        <w:t xml:space="preserve">Zitiervorschlag: Schlußformel WaStrGTalspErmV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https://recht.nulegal.eu/gesetze/WaStrGTalspErmV/schlussformel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WaStrGTalspErmV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