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WaStrGPolVErmV</w:t>
      </w:r>
    </w:p>
    <w:p>
      <w:r>
        <w:rPr>
          <w:color w:val="555555"/>
          <w:sz w:val="18"/>
        </w:rPr>
        <w:t xml:space="preserve">Verordnung über die Übertragung der Ermächtigung zum Erlaß von Strompolizeiverordnungen nach dem Bundeswasserstraßengesetz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Generaldirektion Wasserstraßen und Schifffahrt wird die Ermächtigung übertragen, Rechtsverordnungen zur Gefahrenabwehr nach § 24 Abs. 1 Bundeswasserstraßengesetz (Strompolizeiverordnungen) zu erlassen.</w:t>
      </w:r>
    </w:p>
    <w:p>
      <w:r>
        <w:rPr>
          <w:color w:val="555555"/>
          <w:sz w:val="17"/>
        </w:rPr>
        <w:t xml:space="preserve">Zitiervorschlag: § 1 WaStrGPolVErmV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https://recht.nulegal.eu/gesetze/WaStrGPolVErmV/1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