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WaStrGAnlErmV</w:t>
      </w:r>
    </w:p>
    <w:p>
      <w:r>
        <w:rPr>
          <w:color w:val="555555"/>
          <w:sz w:val="18"/>
        </w:rPr>
        <w:t xml:space="preserve">Verordnung zur Übertragung der Ermächtigung zum Erlaß von Rechtsverordnungen nach dem Bundeswasserstraßengesetz über die Regelung des Betriebs von Anlagen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2 WaStrGAnlErmV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https://recht.nulegal.eu/gesetze/WaStrGAnlErmV/2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