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3 WaStrG — (zu § 18 Absatz 1 Satz 1 Nummer 1)</w:t>
      </w:r>
    </w:p>
    <w:p>
      <w:r>
        <w:rPr>
          <w:color w:val="555555"/>
          <w:sz w:val="18"/>
        </w:rPr>
        <w:t xml:space="preserve">Bundeswasserstraßengesetz</w:t>
      </w:r>
    </w:p>
    <w:p>
      <w:r>
        <w:rPr>
          <w:color w:val="555555"/>
          <w:sz w:val="18"/>
        </w:rPr>
        <w:t xml:space="preserve">Stand: 31.07.2026 (konsolidierte Textfassung, kein amtliches Inkrafttretensdatum)</w:t>
      </w:r>
    </w:p>
    <w:p>
      <w:r>
        <w:t xml:space="preserve">(Fundstelle: BGBl. 2023 I Nr. 409, S. 30)</w:t>
      </w:r>
    </w:p>
    <w:p>
      <w:r>
        <w:rPr>
          <w:rFonts w:ascii="Courier New" w:hAnsi="Courier New"/>
          <w:sz w:val="17"/>
        </w:rPr>
        <w:t xml:space="preserve">Lfd.Nr.    Bezeichnung</w:t>
      </w:r>
    </w:p>
    <w:p>
      <w:r>
        <w:rPr>
          <w:rFonts w:ascii="Courier New" w:hAnsi="Courier New"/>
          <w:sz w:val="17"/>
        </w:rPr>
        <w:t xml:space="preserve">1    (Świnoujście/Szczecin –) Grenze PL/DE–Berlin</w:t>
      </w:r>
    </w:p>
    <w:p>
      <w:r>
        <w:rPr>
          <w:rFonts w:ascii="Courier New" w:hAnsi="Courier New"/>
          <w:sz w:val="17"/>
        </w:rPr>
        <w:t xml:space="preserve">2    Nord-Ostsee-Kanal</w:t>
      </w:r>
    </w:p>
    <w:p>
      <w:r>
        <w:rPr>
          <w:rFonts w:ascii="Courier New" w:hAnsi="Courier New"/>
          <w:sz w:val="17"/>
        </w:rPr>
        <w:t xml:space="preserve">3    Berlin – Magdeburg – Hannover; Mittellandkanal; westdeutsche Kanäle</w:t>
      </w:r>
    </w:p>
    <w:p>
      <w:r>
        <w:rPr>
          <w:rFonts w:ascii="Courier New" w:hAnsi="Courier New"/>
          <w:sz w:val="17"/>
        </w:rPr>
        <w:t xml:space="preserve">4    Rhein – Grenze DE/NL (– Waal)</w:t>
      </w:r>
    </w:p>
    <w:p>
      <w:r>
        <w:rPr>
          <w:rFonts w:ascii="Courier New" w:hAnsi="Courier New"/>
          <w:sz w:val="17"/>
        </w:rPr>
        <w:t xml:space="preserve">5    Hamburg – Dresden – Grenze DE/CZ (– Praha)</w:t>
      </w:r>
    </w:p>
    <w:p>
      <w:r>
        <w:rPr>
          <w:rFonts w:ascii="Courier New" w:hAnsi="Courier New"/>
          <w:sz w:val="17"/>
        </w:rPr>
        <w:t xml:space="preserve">6    (Basel –) – Grenze CH/DE – Grenze DE/NL (– Antwerpen/Rotterdam)</w:t>
      </w:r>
    </w:p>
    <w:p>
      <w:r>
        <w:rPr>
          <w:rFonts w:ascii="Courier New" w:hAnsi="Courier New"/>
          <w:sz w:val="17"/>
        </w:rPr>
        <w:t xml:space="preserve">7    Donau (Kehlheim – Grenze DE/AT (– Constanţa/Midia/Sulina))</w:t>
      </w:r>
    </w:p>
    <w:p>
      <w:r>
        <w:rPr>
          <w:color w:val="555555"/>
          <w:sz w:val="17"/>
        </w:rPr>
        <w:t xml:space="preserve">Zitiervorschlag: Anlage 3 WaStrG</w:t>
      </w:r>
    </w:p>
    <w:p>
      <w:r>
        <w:rPr>
          <w:color w:val="555555"/>
          <w:sz w:val="17"/>
        </w:rPr>
        <w:t xml:space="preserve">Quelle: Bundesamt für Justiz, abgerufen 31.07.2026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https://recht.nulegal.eu/gesetze/WaStrG/anlage-3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