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WaStrG — Auszug aus EinigVtr Anlage I Kapitel XI Sachgebiet E Abschnitt III (BGBl. II 1990, 889, 1111) - Maßgaben für das beigetretene Gebiet (Art. 3 EinigVtr) -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in dem in Artikel 3 des Vertrages genannten Gebiet mit folgenden Maßgaben in Kraft: . ...</w:t>
      </w:r>
    </w:p>
    <w:p>
      <w:pPr>
        <w:ind w:left="420"/>
      </w:pPr>
      <w:r>
        <w:t xml:space="preserve">7. Bundeswasserstraßengesetz in der Fassung der Bekanntmachung vom 23. August 1990 (BGBl. I S. 1818)mit folgenden Maßgaben:</w:t>
      </w:r>
    </w:p>
    <w:p>
      <w:pPr>
        <w:ind w:left="780"/>
      </w:pPr>
      <w:r>
        <w:t xml:space="preserve">a) § 56 Abs. 2 gilt entsprechend für die Fortführung der beim Wirksamwerden des Beitritts anhängigen Verfahren und Maßnahmen zum Ausbau oder Neubau von in dem in Artikel 3 des Vertrages genannten Gebiet gelegenen Wasserstraßen.</w:t>
      </w:r>
    </w:p>
    <w:p>
      <w:pPr>
        <w:ind w:left="780"/>
      </w:pPr>
      <w:r>
        <w:t xml:space="preserve">b) Der Bundesminister für Verkehr wird ermächtigt, zur Überleitung des Bundesrechts im Einvernehmen mit dem Bundesminister der Finanzen die in dem in Artikel 3 des Vertrages genannten Gebiet gelegenen Wasserstraßen durch Rechtsverordnung zu Bundeswasserstraßen zu erklären, die als Binnenwasserstraßen dem allgemeinen Verkehr dienen. In der Rechtsverordnung ist die Anlage zum Gesetz zu ändern. § 2 des Bundeswasserstraßengesetzes findet keine Anwendung.</w:t>
      </w:r>
    </w:p>
    <w:p>
      <w:r>
        <w:rPr>
          <w:color w:val="555555"/>
          <w:sz w:val="17"/>
        </w:rPr>
        <w:t xml:space="preserve">Zitiervorschlag: Anhang EV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